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0E6B" w:rsidP="00A50DE8" w:rsidRDefault="008E0E6B" w14:paraId="299C13B3" w14:textId="77777777">
      <w:pPr>
        <w:pStyle w:val="p1"/>
        <w:rPr>
          <w:rFonts w:ascii="Cambria" w:hAnsi="Cambria"/>
          <w:b/>
          <w:bCs/>
          <w:sz w:val="24"/>
          <w:szCs w:val="24"/>
        </w:rPr>
      </w:pPr>
    </w:p>
    <w:p w:rsidRPr="0055026C" w:rsidR="00A50DE8" w:rsidP="00A50DE8" w:rsidRDefault="00A50DE8" w14:paraId="493E7028" w14:textId="3E504CB8">
      <w:pPr>
        <w:pStyle w:val="p1"/>
        <w:rPr>
          <w:rFonts w:ascii="Cambria" w:hAnsi="Cambria"/>
          <w:b/>
          <w:bCs/>
          <w:sz w:val="24"/>
          <w:szCs w:val="24"/>
        </w:rPr>
      </w:pPr>
      <w:r w:rsidRPr="0055026C">
        <w:rPr>
          <w:rFonts w:ascii="Cambria" w:hAnsi="Cambria"/>
          <w:b/>
          <w:bCs/>
          <w:sz w:val="24"/>
          <w:szCs w:val="24"/>
        </w:rPr>
        <w:t>VIA ELECTRONIC SUBMISSION</w:t>
      </w:r>
    </w:p>
    <w:p w:rsidRPr="0055026C" w:rsidR="00A50DE8" w:rsidP="00A50DE8" w:rsidRDefault="00A50DE8" w14:paraId="7B619D92" w14:textId="77777777">
      <w:pPr>
        <w:pStyle w:val="p1"/>
        <w:rPr>
          <w:rFonts w:ascii="Cambria" w:hAnsi="Cambria"/>
          <w:sz w:val="24"/>
          <w:szCs w:val="24"/>
        </w:rPr>
      </w:pPr>
    </w:p>
    <w:p w:rsidRPr="0055026C" w:rsidR="00A50DE8" w:rsidP="00A50DE8" w:rsidRDefault="1D3FDEBF" w14:paraId="6AE6F195" w14:textId="5154EF65">
      <w:pPr>
        <w:pStyle w:val="p1"/>
        <w:rPr>
          <w:rFonts w:ascii="Cambria" w:hAnsi="Cambria"/>
          <w:sz w:val="24"/>
          <w:szCs w:val="24"/>
        </w:rPr>
      </w:pPr>
      <w:r w:rsidRPr="72543F5F">
        <w:rPr>
          <w:rFonts w:ascii="Cambria" w:hAnsi="Cambria"/>
          <w:sz w:val="24"/>
          <w:szCs w:val="24"/>
        </w:rPr>
        <w:t>September 12, 2025</w:t>
      </w:r>
    </w:p>
    <w:p w:rsidRPr="0055026C" w:rsidR="00A50DE8" w:rsidP="00A50DE8" w:rsidRDefault="00A50DE8" w14:paraId="38CED199" w14:textId="77777777">
      <w:pPr>
        <w:pStyle w:val="p1"/>
        <w:rPr>
          <w:rFonts w:ascii="Cambria" w:hAnsi="Cambria"/>
          <w:sz w:val="24"/>
          <w:szCs w:val="24"/>
        </w:rPr>
      </w:pPr>
    </w:p>
    <w:p w:rsidRPr="00A50DE8" w:rsidR="00A50DE8" w:rsidP="00A50DE8" w:rsidRDefault="00A50DE8" w14:paraId="54AE3B65" w14:textId="77777777">
      <w:pPr>
        <w:pStyle w:val="p1"/>
        <w:rPr>
          <w:rFonts w:ascii="Cambria" w:hAnsi="Cambria"/>
          <w:sz w:val="24"/>
          <w:szCs w:val="24"/>
        </w:rPr>
      </w:pPr>
      <w:r w:rsidRPr="00A50DE8">
        <w:rPr>
          <w:rFonts w:ascii="Cambria" w:hAnsi="Cambria"/>
          <w:sz w:val="24"/>
          <w:szCs w:val="24"/>
        </w:rPr>
        <w:t xml:space="preserve">Centers for Medicare &amp; Medicaid Services </w:t>
      </w:r>
    </w:p>
    <w:p w:rsidRPr="00A50DE8" w:rsidR="00A50DE8" w:rsidP="00A50DE8" w:rsidRDefault="00A50DE8" w14:paraId="3B296A2F" w14:textId="5D83958E">
      <w:pPr>
        <w:pStyle w:val="p1"/>
        <w:rPr>
          <w:rFonts w:ascii="Cambria" w:hAnsi="Cambria"/>
          <w:sz w:val="24"/>
          <w:szCs w:val="24"/>
        </w:rPr>
      </w:pPr>
      <w:r w:rsidRPr="00A50DE8">
        <w:rPr>
          <w:rFonts w:ascii="Cambria" w:hAnsi="Cambria"/>
          <w:sz w:val="24"/>
          <w:szCs w:val="24"/>
        </w:rPr>
        <w:t>Department of Health and Human Services, Attention: CMS–</w:t>
      </w:r>
      <w:r w:rsidRPr="0055026C" w:rsidR="00C865A2">
        <w:rPr>
          <w:rFonts w:ascii="Cambria" w:hAnsi="Cambria"/>
          <w:sz w:val="24"/>
          <w:szCs w:val="24"/>
        </w:rPr>
        <w:t>1832</w:t>
      </w:r>
      <w:r w:rsidRPr="00A50DE8">
        <w:rPr>
          <w:rFonts w:ascii="Cambria" w:hAnsi="Cambria"/>
          <w:sz w:val="24"/>
          <w:szCs w:val="24"/>
        </w:rPr>
        <w:t>–P</w:t>
      </w:r>
    </w:p>
    <w:p w:rsidRPr="00A50DE8" w:rsidR="00A50DE8" w:rsidP="00A50DE8" w:rsidRDefault="00A50DE8" w14:paraId="3EDB5468" w14:textId="77777777">
      <w:pPr>
        <w:pStyle w:val="p1"/>
        <w:rPr>
          <w:rFonts w:ascii="Cambria" w:hAnsi="Cambria"/>
          <w:sz w:val="24"/>
          <w:szCs w:val="24"/>
        </w:rPr>
      </w:pPr>
      <w:r w:rsidRPr="00A50DE8">
        <w:rPr>
          <w:rFonts w:ascii="Cambria" w:hAnsi="Cambria"/>
          <w:sz w:val="24"/>
          <w:szCs w:val="24"/>
        </w:rPr>
        <w:t>P.O. Box 8013</w:t>
      </w:r>
    </w:p>
    <w:p w:rsidRPr="0055026C" w:rsidR="00A50DE8" w:rsidP="00A50DE8" w:rsidRDefault="00A50DE8" w14:paraId="7F41F09F" w14:textId="77777777">
      <w:pPr>
        <w:pStyle w:val="p1"/>
        <w:rPr>
          <w:rFonts w:ascii="Cambria" w:hAnsi="Cambria"/>
          <w:sz w:val="24"/>
          <w:szCs w:val="24"/>
        </w:rPr>
      </w:pPr>
      <w:r w:rsidRPr="00A50DE8">
        <w:rPr>
          <w:rFonts w:ascii="Cambria" w:hAnsi="Cambria"/>
          <w:sz w:val="24"/>
          <w:szCs w:val="24"/>
        </w:rPr>
        <w:t>Baltimore, MD 21244</w:t>
      </w:r>
    </w:p>
    <w:p w:rsidRPr="0055026C" w:rsidR="00C865A2" w:rsidP="00A50DE8" w:rsidRDefault="00C865A2" w14:paraId="26126535" w14:textId="77777777">
      <w:pPr>
        <w:pStyle w:val="p1"/>
        <w:rPr>
          <w:rFonts w:ascii="Cambria" w:hAnsi="Cambria"/>
          <w:sz w:val="24"/>
          <w:szCs w:val="24"/>
        </w:rPr>
      </w:pPr>
    </w:p>
    <w:p w:rsidRPr="00A50DE8" w:rsidR="00C865A2" w:rsidP="00A50DE8" w:rsidRDefault="00C865A2" w14:paraId="59CE4CE4" w14:textId="1C0D54A3">
      <w:pPr>
        <w:pStyle w:val="p1"/>
        <w:rPr>
          <w:rFonts w:ascii="Cambria" w:hAnsi="Cambria"/>
          <w:b/>
          <w:bCs/>
          <w:sz w:val="24"/>
          <w:szCs w:val="24"/>
        </w:rPr>
      </w:pPr>
      <w:r w:rsidRPr="0055026C">
        <w:rPr>
          <w:rFonts w:ascii="Cambria" w:hAnsi="Cambria"/>
          <w:sz w:val="24"/>
          <w:szCs w:val="24"/>
        </w:rPr>
        <w:t>RIN 0938-AV50</w:t>
      </w:r>
    </w:p>
    <w:p w:rsidRPr="0055026C" w:rsidR="00A50DE8" w:rsidP="00A50DE8" w:rsidRDefault="00A50DE8" w14:paraId="7E4A3C71" w14:textId="77777777">
      <w:pPr>
        <w:pStyle w:val="p1"/>
        <w:rPr>
          <w:rFonts w:ascii="Cambria" w:hAnsi="Cambria"/>
          <w:sz w:val="24"/>
          <w:szCs w:val="24"/>
        </w:rPr>
      </w:pPr>
    </w:p>
    <w:p w:rsidRPr="0055026C" w:rsidR="00A50DE8" w:rsidP="00A50DE8" w:rsidRDefault="00A50DE8" w14:paraId="71C2C4AA" w14:textId="129A186F">
      <w:pPr>
        <w:pStyle w:val="p1"/>
        <w:rPr>
          <w:rFonts w:ascii="Cambria" w:hAnsi="Cambria"/>
          <w:b/>
          <w:bCs/>
          <w:sz w:val="24"/>
          <w:szCs w:val="24"/>
        </w:rPr>
      </w:pPr>
      <w:r w:rsidRPr="0055026C">
        <w:rPr>
          <w:rFonts w:ascii="Cambria" w:hAnsi="Cambria"/>
          <w:b/>
          <w:bCs/>
          <w:sz w:val="24"/>
          <w:szCs w:val="24"/>
        </w:rPr>
        <w:t xml:space="preserve">RE: </w:t>
      </w:r>
      <w:r w:rsidRPr="0055026C" w:rsidR="00C865A2">
        <w:rPr>
          <w:rFonts w:ascii="Cambria" w:hAnsi="Cambria"/>
          <w:b/>
          <w:bCs/>
          <w:sz w:val="24"/>
          <w:szCs w:val="24"/>
        </w:rPr>
        <w:t>Medicare and Medicaid Programs; CY 2026 Payment Policies Under the Physician Fee Schedule and Other Changes to Part B Payment and Coverage Policies; Medicare Shared Savings Program Requirements; and Medicare Prescription Drug Inflation Rebate Program</w:t>
      </w:r>
    </w:p>
    <w:p w:rsidRPr="0055026C" w:rsidR="00A50DE8" w:rsidP="00A50DE8" w:rsidRDefault="00A50DE8" w14:paraId="1E5F1CE2" w14:textId="77777777">
      <w:pPr>
        <w:pStyle w:val="p1"/>
        <w:rPr>
          <w:rFonts w:ascii="Cambria" w:hAnsi="Cambria"/>
          <w:sz w:val="24"/>
          <w:szCs w:val="24"/>
        </w:rPr>
      </w:pPr>
    </w:p>
    <w:p w:rsidRPr="0055026C" w:rsidR="00A50DE8" w:rsidP="00A50DE8" w:rsidRDefault="00A50DE8" w14:paraId="41E3D196" w14:textId="02E321C9">
      <w:pPr>
        <w:pStyle w:val="p1"/>
        <w:rPr>
          <w:rFonts w:ascii="Cambria" w:hAnsi="Cambria"/>
          <w:sz w:val="24"/>
          <w:szCs w:val="24"/>
        </w:rPr>
      </w:pPr>
      <w:r w:rsidRPr="0055026C">
        <w:rPr>
          <w:rFonts w:ascii="Cambria" w:hAnsi="Cambria"/>
          <w:sz w:val="24"/>
          <w:szCs w:val="24"/>
        </w:rPr>
        <w:t>Dear Administrator Oz,</w:t>
      </w:r>
    </w:p>
    <w:p w:rsidRPr="0055026C" w:rsidR="00A50DE8" w:rsidP="00A50DE8" w:rsidRDefault="00A50DE8" w14:paraId="5BEC3168" w14:textId="77777777">
      <w:pPr>
        <w:pStyle w:val="p1"/>
        <w:rPr>
          <w:rFonts w:ascii="Cambria" w:hAnsi="Cambria"/>
          <w:sz w:val="24"/>
          <w:szCs w:val="24"/>
        </w:rPr>
      </w:pPr>
    </w:p>
    <w:p w:rsidRPr="0055026C" w:rsidR="00A50DE8" w:rsidP="00A50DE8" w:rsidRDefault="00A50DE8" w14:paraId="0F305713" w14:textId="7CFF3273">
      <w:pPr>
        <w:pStyle w:val="p1"/>
        <w:rPr>
          <w:rFonts w:ascii="Cambria" w:hAnsi="Cambria"/>
          <w:sz w:val="24"/>
          <w:szCs w:val="24"/>
        </w:rPr>
      </w:pPr>
      <w:r w:rsidRPr="0055026C">
        <w:rPr>
          <w:rFonts w:ascii="Cambria" w:hAnsi="Cambria"/>
          <w:sz w:val="24"/>
          <w:szCs w:val="24"/>
        </w:rPr>
        <w:t xml:space="preserve">Thank you for the opportunity to respond to the </w:t>
      </w:r>
      <w:r w:rsidRPr="0055026C" w:rsidR="00C865A2">
        <w:rPr>
          <w:rFonts w:ascii="Cambria" w:hAnsi="Cambria"/>
          <w:sz w:val="24"/>
          <w:szCs w:val="24"/>
        </w:rPr>
        <w:t xml:space="preserve">Centers for Medicare and Medicaid Services’ (CMS) proposed rule, </w:t>
      </w:r>
      <w:hyperlink w:history="1" r:id="rId11">
        <w:r w:rsidRPr="0055026C" w:rsidR="00C865A2">
          <w:rPr>
            <w:rStyle w:val="Hyperlink"/>
            <w:rFonts w:ascii="Cambria" w:hAnsi="Cambria"/>
            <w:i/>
            <w:iCs/>
            <w:sz w:val="24"/>
            <w:szCs w:val="24"/>
          </w:rPr>
          <w:t>Medicare and Medicaid Programs; CY 2026 Payment Policies Under the Physician Fee Schedule and Other Changes to Part B Payment and Coverage Policies; Medicare Shared Savings Program Requirements; and Medicare Prescription Drug Inflation Rebate Program</w:t>
        </w:r>
      </w:hyperlink>
      <w:r w:rsidRPr="0055026C" w:rsidR="00C865A2">
        <w:rPr>
          <w:rFonts w:ascii="Cambria" w:hAnsi="Cambria"/>
          <w:sz w:val="24"/>
          <w:szCs w:val="24"/>
        </w:rPr>
        <w:t xml:space="preserve"> [CMS-1832-P]</w:t>
      </w:r>
      <w:r w:rsidRPr="0055026C">
        <w:rPr>
          <w:rFonts w:ascii="Cambria" w:hAnsi="Cambria"/>
          <w:sz w:val="24"/>
          <w:szCs w:val="24"/>
        </w:rPr>
        <w:t>.</w:t>
      </w:r>
    </w:p>
    <w:p w:rsidRPr="0055026C" w:rsidR="00A50DE8" w:rsidP="00A50DE8" w:rsidRDefault="00A50DE8" w14:paraId="4C8923C8" w14:textId="77777777">
      <w:pPr>
        <w:pStyle w:val="p1"/>
        <w:rPr>
          <w:rFonts w:ascii="Cambria" w:hAnsi="Cambria"/>
          <w:sz w:val="24"/>
          <w:szCs w:val="24"/>
        </w:rPr>
      </w:pPr>
    </w:p>
    <w:p w:rsidRPr="0055026C" w:rsidR="00A50DE8" w:rsidP="00A50DE8" w:rsidRDefault="00A50DE8" w14:paraId="442E8C1E" w14:textId="39715F12">
      <w:pPr>
        <w:pStyle w:val="p1"/>
        <w:rPr>
          <w:rFonts w:ascii="Cambria" w:hAnsi="Cambria"/>
          <w:sz w:val="24"/>
          <w:szCs w:val="24"/>
        </w:rPr>
      </w:pPr>
      <w:r w:rsidRPr="0055026C">
        <w:rPr>
          <w:rFonts w:ascii="Cambria" w:hAnsi="Cambria"/>
          <w:sz w:val="24"/>
          <w:szCs w:val="24"/>
        </w:rPr>
        <w:t xml:space="preserve">The Global Health Advocacy Incubator’s (GHAI) Overdose Prevention Initiative </w:t>
      </w:r>
      <w:r w:rsidR="00354367">
        <w:rPr>
          <w:rFonts w:ascii="Cambria" w:hAnsi="Cambria"/>
          <w:sz w:val="24"/>
          <w:szCs w:val="24"/>
        </w:rPr>
        <w:t xml:space="preserve">(OPI) </w:t>
      </w:r>
      <w:r w:rsidRPr="0055026C">
        <w:rPr>
          <w:rFonts w:ascii="Cambria" w:hAnsi="Cambria"/>
          <w:sz w:val="24"/>
          <w:szCs w:val="24"/>
        </w:rPr>
        <w:t>is dedicated to ending the overdose crisis in America by advancing evidence-based, equitable, and sustainable federal policy solutions. Our comments reflect the Overdose Prevention Initiative’s core policy priorities: expanding access to addiction treatment, supporting local overdose prevention efforts, and advancing data-driven approaches to inform and improve overdose response.</w:t>
      </w:r>
    </w:p>
    <w:p w:rsidRPr="0055026C" w:rsidR="00A50DE8" w:rsidP="00A50DE8" w:rsidRDefault="00A50DE8" w14:paraId="48C23A48" w14:textId="77777777">
      <w:pPr>
        <w:pStyle w:val="p1"/>
        <w:rPr>
          <w:rFonts w:ascii="Cambria" w:hAnsi="Cambria"/>
          <w:sz w:val="24"/>
          <w:szCs w:val="24"/>
        </w:rPr>
      </w:pPr>
    </w:p>
    <w:p w:rsidRPr="0055026C" w:rsidR="001F0014" w:rsidP="00A50DE8" w:rsidRDefault="00A50DE8" w14:paraId="0C905BFA" w14:textId="3ADEDDE7">
      <w:pPr>
        <w:pStyle w:val="p1"/>
        <w:rPr>
          <w:rFonts w:ascii="Cambria" w:hAnsi="Cambria"/>
          <w:sz w:val="24"/>
          <w:szCs w:val="24"/>
        </w:rPr>
      </w:pPr>
      <w:r w:rsidRPr="0055026C">
        <w:rPr>
          <w:rFonts w:ascii="Cambria" w:hAnsi="Cambria"/>
          <w:sz w:val="24"/>
          <w:szCs w:val="24"/>
        </w:rPr>
        <w:t xml:space="preserve">We applaud </w:t>
      </w:r>
      <w:r w:rsidRPr="0055026C" w:rsidR="00D103CE">
        <w:rPr>
          <w:rFonts w:ascii="Cambria" w:hAnsi="Cambria"/>
          <w:sz w:val="24"/>
          <w:szCs w:val="24"/>
        </w:rPr>
        <w:t xml:space="preserve">CMS </w:t>
      </w:r>
      <w:r w:rsidRPr="0055026C" w:rsidR="001F0014">
        <w:rPr>
          <w:rFonts w:ascii="Cambria" w:hAnsi="Cambria"/>
          <w:sz w:val="24"/>
          <w:szCs w:val="24"/>
        </w:rPr>
        <w:t>for its continued commitment to strengthening behavioral health care through the CY2026 Medicare Physician Fee Schedule proposed rule. The addition of three new Advanced Primary Care Management (APCM) add-on codes represents an important step toward expanding access to integrated, team-based behavioral health services for Medicare beneficiaries. We respectfully recommend the following clarifications and adjustments to ensure the codes are implemented in ways that maximize access to high-quality, evidence-based care</w:t>
      </w:r>
      <w:r w:rsidRPr="0055026C">
        <w:rPr>
          <w:rFonts w:ascii="Cambria" w:hAnsi="Cambria"/>
          <w:sz w:val="24"/>
          <w:szCs w:val="24"/>
        </w:rPr>
        <w:t>:</w:t>
      </w:r>
    </w:p>
    <w:p w:rsidRPr="0055026C" w:rsidR="00A50DE8" w:rsidP="00A50DE8" w:rsidRDefault="00A50DE8" w14:paraId="42B7A94E" w14:textId="77777777">
      <w:pPr>
        <w:pStyle w:val="p1"/>
        <w:rPr>
          <w:rFonts w:ascii="Cambria" w:hAnsi="Cambria"/>
          <w:sz w:val="24"/>
          <w:szCs w:val="24"/>
        </w:rPr>
      </w:pPr>
    </w:p>
    <w:p w:rsidR="00940C4D" w:rsidP="00A50DE8" w:rsidRDefault="00AD7C3A" w14:paraId="70BAEAE9" w14:textId="54EFA222">
      <w:pPr>
        <w:pStyle w:val="p1"/>
        <w:numPr>
          <w:ilvl w:val="0"/>
          <w:numId w:val="1"/>
        </w:numPr>
        <w:rPr>
          <w:rFonts w:ascii="Cambria" w:hAnsi="Cambria"/>
          <w:sz w:val="24"/>
          <w:szCs w:val="24"/>
        </w:rPr>
      </w:pPr>
      <w:r w:rsidRPr="00AD7C3A">
        <w:rPr>
          <w:rFonts w:ascii="Cambria" w:hAnsi="Cambria"/>
          <w:sz w:val="24"/>
          <w:szCs w:val="24"/>
        </w:rPr>
        <w:t xml:space="preserve">Allow opioid treatment programs (OTPs) with formal care coordination agreements with Rural Health Clinics (RHCs) and Federally Qualified Health Centers (FQHCs) to </w:t>
      </w:r>
      <w:r w:rsidRPr="00AD7C3A">
        <w:rPr>
          <w:rFonts w:ascii="Cambria" w:hAnsi="Cambria"/>
          <w:sz w:val="24"/>
          <w:szCs w:val="24"/>
        </w:rPr>
        <w:lastRenderedPageBreak/>
        <w:t xml:space="preserve">bill </w:t>
      </w:r>
      <w:r w:rsidRPr="50E2F678" w:rsidR="300FF32A">
        <w:rPr>
          <w:rFonts w:ascii="Cambria" w:hAnsi="Cambria"/>
          <w:sz w:val="24"/>
          <w:szCs w:val="24"/>
        </w:rPr>
        <w:t>Collaborative Care Management (</w:t>
      </w:r>
      <w:proofErr w:type="spellStart"/>
      <w:r w:rsidRPr="00AD7C3A">
        <w:rPr>
          <w:rFonts w:ascii="Cambria" w:hAnsi="Cambria"/>
          <w:sz w:val="24"/>
          <w:szCs w:val="24"/>
        </w:rPr>
        <w:t>CoCM</w:t>
      </w:r>
      <w:proofErr w:type="spellEnd"/>
      <w:r w:rsidRPr="50E2F678" w:rsidR="300FF32A">
        <w:rPr>
          <w:rFonts w:ascii="Cambria" w:hAnsi="Cambria"/>
          <w:sz w:val="24"/>
          <w:szCs w:val="24"/>
        </w:rPr>
        <w:t>)</w:t>
      </w:r>
      <w:r w:rsidRPr="00AD7C3A">
        <w:rPr>
          <w:rFonts w:ascii="Cambria" w:hAnsi="Cambria"/>
          <w:sz w:val="24"/>
          <w:szCs w:val="24"/>
        </w:rPr>
        <w:t xml:space="preserve"> add-on codes for team-based care, including medications for opioid use disorder (MOUD</w:t>
      </w:r>
      <w:proofErr w:type="gramStart"/>
      <w:r w:rsidRPr="00AD7C3A">
        <w:rPr>
          <w:rFonts w:ascii="Cambria" w:hAnsi="Cambria"/>
          <w:sz w:val="24"/>
          <w:szCs w:val="24"/>
        </w:rPr>
        <w:t>)</w:t>
      </w:r>
      <w:r>
        <w:rPr>
          <w:rFonts w:ascii="Cambria" w:hAnsi="Cambria"/>
          <w:sz w:val="24"/>
          <w:szCs w:val="24"/>
        </w:rPr>
        <w:t>;</w:t>
      </w:r>
      <w:proofErr w:type="gramEnd"/>
    </w:p>
    <w:p w:rsidR="00AD7C3A" w:rsidP="00A50DE8" w:rsidRDefault="00AD7C3A" w14:paraId="29AA36E6" w14:textId="7B9777DC">
      <w:pPr>
        <w:pStyle w:val="p1"/>
        <w:numPr>
          <w:ilvl w:val="0"/>
          <w:numId w:val="1"/>
        </w:numPr>
        <w:rPr>
          <w:rFonts w:ascii="Cambria" w:hAnsi="Cambria"/>
          <w:sz w:val="24"/>
          <w:szCs w:val="24"/>
        </w:rPr>
      </w:pPr>
      <w:r w:rsidRPr="00AD7C3A">
        <w:rPr>
          <w:rFonts w:ascii="Cambria" w:hAnsi="Cambria"/>
          <w:sz w:val="24"/>
          <w:szCs w:val="24"/>
        </w:rPr>
        <w:t xml:space="preserve">Permit providers and care teams in carceral and reentry settings to bill </w:t>
      </w:r>
      <w:r w:rsidR="005602AA">
        <w:rPr>
          <w:rFonts w:ascii="Cambria" w:hAnsi="Cambria"/>
          <w:sz w:val="24"/>
          <w:szCs w:val="24"/>
        </w:rPr>
        <w:t xml:space="preserve">the </w:t>
      </w:r>
      <w:proofErr w:type="spellStart"/>
      <w:r w:rsidRPr="00AD7C3A">
        <w:rPr>
          <w:rFonts w:ascii="Cambria" w:hAnsi="Cambria"/>
          <w:sz w:val="24"/>
          <w:szCs w:val="24"/>
        </w:rPr>
        <w:t>CoCM</w:t>
      </w:r>
      <w:proofErr w:type="spellEnd"/>
      <w:r w:rsidRPr="00AD7C3A">
        <w:rPr>
          <w:rFonts w:ascii="Cambria" w:hAnsi="Cambria"/>
          <w:sz w:val="24"/>
          <w:szCs w:val="24"/>
        </w:rPr>
        <w:t xml:space="preserve"> add-on codes for team-based services that support continuity of care for individuals with </w:t>
      </w:r>
      <w:r w:rsidR="00346E6C">
        <w:rPr>
          <w:rFonts w:ascii="Cambria" w:hAnsi="Cambria"/>
          <w:sz w:val="24"/>
          <w:szCs w:val="24"/>
        </w:rPr>
        <w:t>substance use disorder (</w:t>
      </w:r>
      <w:r w:rsidRPr="00AD7C3A">
        <w:rPr>
          <w:rFonts w:ascii="Cambria" w:hAnsi="Cambria"/>
          <w:sz w:val="24"/>
          <w:szCs w:val="24"/>
        </w:rPr>
        <w:t>SUD</w:t>
      </w:r>
      <w:proofErr w:type="gramStart"/>
      <w:r w:rsidR="00346E6C">
        <w:rPr>
          <w:rFonts w:ascii="Cambria" w:hAnsi="Cambria"/>
          <w:sz w:val="24"/>
          <w:szCs w:val="24"/>
        </w:rPr>
        <w:t>)</w:t>
      </w:r>
      <w:r>
        <w:rPr>
          <w:rFonts w:ascii="Cambria" w:hAnsi="Cambria"/>
          <w:sz w:val="24"/>
          <w:szCs w:val="24"/>
        </w:rPr>
        <w:t>;</w:t>
      </w:r>
      <w:proofErr w:type="gramEnd"/>
    </w:p>
    <w:p w:rsidR="00AD7C3A" w:rsidP="00A50DE8" w:rsidRDefault="004606F2" w14:paraId="52E6D496" w14:textId="77B30D2E">
      <w:pPr>
        <w:pStyle w:val="p1"/>
        <w:numPr>
          <w:ilvl w:val="0"/>
          <w:numId w:val="1"/>
        </w:numPr>
        <w:rPr>
          <w:rFonts w:ascii="Cambria" w:hAnsi="Cambria"/>
          <w:sz w:val="24"/>
          <w:szCs w:val="24"/>
        </w:rPr>
      </w:pPr>
      <w:r w:rsidRPr="004606F2">
        <w:rPr>
          <w:rFonts w:ascii="Cambria" w:hAnsi="Cambria"/>
          <w:sz w:val="24"/>
          <w:szCs w:val="24"/>
        </w:rPr>
        <w:t xml:space="preserve">Allow providers prescribing </w:t>
      </w:r>
      <w:r w:rsidRPr="50E2F678" w:rsidR="206F401F">
        <w:rPr>
          <w:rFonts w:ascii="Cambria" w:hAnsi="Cambria"/>
          <w:sz w:val="24"/>
          <w:szCs w:val="24"/>
        </w:rPr>
        <w:t>medications for opioid use disorder (</w:t>
      </w:r>
      <w:r w:rsidRPr="004606F2">
        <w:rPr>
          <w:rFonts w:ascii="Cambria" w:hAnsi="Cambria"/>
          <w:sz w:val="24"/>
          <w:szCs w:val="24"/>
        </w:rPr>
        <w:t>MOUD</w:t>
      </w:r>
      <w:r w:rsidRPr="50E2F678" w:rsidR="07D76488">
        <w:rPr>
          <w:rFonts w:ascii="Cambria" w:hAnsi="Cambria"/>
          <w:sz w:val="24"/>
          <w:szCs w:val="24"/>
        </w:rPr>
        <w:t>)</w:t>
      </w:r>
      <w:r w:rsidRPr="004606F2">
        <w:rPr>
          <w:rFonts w:ascii="Cambria" w:hAnsi="Cambria"/>
          <w:sz w:val="24"/>
          <w:szCs w:val="24"/>
        </w:rPr>
        <w:t xml:space="preserve"> to bill the </w:t>
      </w:r>
      <w:r w:rsidR="00DD5A45">
        <w:rPr>
          <w:rFonts w:ascii="Cambria" w:hAnsi="Cambria"/>
          <w:sz w:val="24"/>
          <w:szCs w:val="24"/>
        </w:rPr>
        <w:t>behavioral health integration (</w:t>
      </w:r>
      <w:r w:rsidRPr="004606F2">
        <w:rPr>
          <w:rFonts w:ascii="Cambria" w:hAnsi="Cambria"/>
          <w:sz w:val="24"/>
          <w:szCs w:val="24"/>
        </w:rPr>
        <w:t>BHI</w:t>
      </w:r>
      <w:r w:rsidR="00DD5A45">
        <w:rPr>
          <w:rFonts w:ascii="Cambria" w:hAnsi="Cambria"/>
          <w:sz w:val="24"/>
          <w:szCs w:val="24"/>
        </w:rPr>
        <w:t>)</w:t>
      </w:r>
      <w:r w:rsidRPr="004606F2">
        <w:rPr>
          <w:rFonts w:ascii="Cambria" w:hAnsi="Cambria"/>
          <w:sz w:val="24"/>
          <w:szCs w:val="24"/>
        </w:rPr>
        <w:t xml:space="preserve"> add-on code with the APCM base code when treating beneficiaries with </w:t>
      </w:r>
      <w:r w:rsidR="00115D4F">
        <w:rPr>
          <w:rFonts w:ascii="Cambria" w:hAnsi="Cambria"/>
          <w:sz w:val="24"/>
          <w:szCs w:val="24"/>
        </w:rPr>
        <w:t>opioid use disorder (</w:t>
      </w:r>
      <w:r w:rsidRPr="004606F2">
        <w:rPr>
          <w:rFonts w:ascii="Cambria" w:hAnsi="Cambria"/>
          <w:sz w:val="24"/>
          <w:szCs w:val="24"/>
        </w:rPr>
        <w:t>OUD</w:t>
      </w:r>
      <w:proofErr w:type="gramStart"/>
      <w:r w:rsidR="00115D4F">
        <w:rPr>
          <w:rFonts w:ascii="Cambria" w:hAnsi="Cambria"/>
          <w:sz w:val="24"/>
          <w:szCs w:val="24"/>
        </w:rPr>
        <w:t>)</w:t>
      </w:r>
      <w:r>
        <w:rPr>
          <w:rFonts w:ascii="Cambria" w:hAnsi="Cambria"/>
          <w:sz w:val="24"/>
          <w:szCs w:val="24"/>
        </w:rPr>
        <w:t>;</w:t>
      </w:r>
      <w:proofErr w:type="gramEnd"/>
    </w:p>
    <w:p w:rsidR="004606F2" w:rsidP="00A50DE8" w:rsidRDefault="00DD5A45" w14:paraId="490C8C7D" w14:textId="0D1DB8E3">
      <w:pPr>
        <w:pStyle w:val="p1"/>
        <w:numPr>
          <w:ilvl w:val="0"/>
          <w:numId w:val="1"/>
        </w:numPr>
        <w:rPr>
          <w:rFonts w:ascii="Cambria" w:hAnsi="Cambria"/>
          <w:sz w:val="24"/>
          <w:szCs w:val="24"/>
        </w:rPr>
      </w:pPr>
      <w:r w:rsidRPr="00DD5A45">
        <w:rPr>
          <w:rFonts w:ascii="Cambria" w:hAnsi="Cambria"/>
          <w:sz w:val="24"/>
          <w:szCs w:val="24"/>
        </w:rPr>
        <w:t xml:space="preserve">Waive prior authorization requirements for buprenorphine prescribed under the BHI add-on code to ensure timely access to evidence-based </w:t>
      </w:r>
      <w:proofErr w:type="gramStart"/>
      <w:r w:rsidRPr="00DD5A45">
        <w:rPr>
          <w:rFonts w:ascii="Cambria" w:hAnsi="Cambria"/>
          <w:sz w:val="24"/>
          <w:szCs w:val="24"/>
        </w:rPr>
        <w:t>treatment</w:t>
      </w:r>
      <w:r>
        <w:rPr>
          <w:rFonts w:ascii="Cambria" w:hAnsi="Cambria"/>
          <w:sz w:val="24"/>
          <w:szCs w:val="24"/>
        </w:rPr>
        <w:t>;</w:t>
      </w:r>
      <w:proofErr w:type="gramEnd"/>
    </w:p>
    <w:p w:rsidR="00DD5A45" w:rsidP="00A50DE8" w:rsidRDefault="00DD5A45" w14:paraId="6D7B7980" w14:textId="482FF328">
      <w:pPr>
        <w:pStyle w:val="p1"/>
        <w:numPr>
          <w:ilvl w:val="0"/>
          <w:numId w:val="1"/>
        </w:numPr>
        <w:rPr>
          <w:rFonts w:ascii="Cambria" w:hAnsi="Cambria"/>
          <w:sz w:val="24"/>
          <w:szCs w:val="24"/>
        </w:rPr>
      </w:pPr>
      <w:r w:rsidRPr="00DD5A45">
        <w:rPr>
          <w:rFonts w:ascii="Cambria" w:hAnsi="Cambria"/>
          <w:sz w:val="24"/>
          <w:szCs w:val="24"/>
        </w:rPr>
        <w:t xml:space="preserve">Clarify that providers delivering BHI services to individuals in jails, prisons, and reentry programs may bill the BHI add-on code when meeting appropriate clinical and quality </w:t>
      </w:r>
      <w:proofErr w:type="gramStart"/>
      <w:r w:rsidRPr="00DD5A45">
        <w:rPr>
          <w:rFonts w:ascii="Cambria" w:hAnsi="Cambria"/>
          <w:sz w:val="24"/>
          <w:szCs w:val="24"/>
        </w:rPr>
        <w:t>standards</w:t>
      </w:r>
      <w:r>
        <w:rPr>
          <w:rFonts w:ascii="Cambria" w:hAnsi="Cambria"/>
          <w:sz w:val="24"/>
          <w:szCs w:val="24"/>
        </w:rPr>
        <w:t>;</w:t>
      </w:r>
      <w:proofErr w:type="gramEnd"/>
    </w:p>
    <w:p w:rsidR="00DD5A45" w:rsidP="00A50DE8" w:rsidRDefault="00DD5A45" w14:paraId="1E948B3D" w14:textId="57E8F76A">
      <w:pPr>
        <w:pStyle w:val="p1"/>
        <w:numPr>
          <w:ilvl w:val="0"/>
          <w:numId w:val="1"/>
        </w:numPr>
        <w:rPr>
          <w:rFonts w:ascii="Cambria" w:hAnsi="Cambria"/>
          <w:sz w:val="24"/>
          <w:szCs w:val="24"/>
        </w:rPr>
      </w:pPr>
      <w:r>
        <w:rPr>
          <w:rFonts w:ascii="Cambria" w:hAnsi="Cambria"/>
          <w:sz w:val="24"/>
          <w:szCs w:val="24"/>
        </w:rPr>
        <w:t xml:space="preserve">Incorporate </w:t>
      </w:r>
      <w:r w:rsidRPr="00F05B94" w:rsidR="00F05B94">
        <w:rPr>
          <w:rFonts w:ascii="Cambria" w:hAnsi="Cambria"/>
          <w:sz w:val="24"/>
          <w:szCs w:val="24"/>
        </w:rPr>
        <w:t xml:space="preserve">existing G-codes for office-based SUD treatment as add-on codes for the APCM base </w:t>
      </w:r>
      <w:proofErr w:type="gramStart"/>
      <w:r w:rsidRPr="00F05B94" w:rsidR="00F05B94">
        <w:rPr>
          <w:rFonts w:ascii="Cambria" w:hAnsi="Cambria"/>
          <w:sz w:val="24"/>
          <w:szCs w:val="24"/>
        </w:rPr>
        <w:t>code</w:t>
      </w:r>
      <w:r w:rsidR="00F05B94">
        <w:rPr>
          <w:rFonts w:ascii="Cambria" w:hAnsi="Cambria"/>
          <w:sz w:val="24"/>
          <w:szCs w:val="24"/>
        </w:rPr>
        <w:t>;</w:t>
      </w:r>
      <w:proofErr w:type="gramEnd"/>
    </w:p>
    <w:p w:rsidR="00F05B94" w:rsidP="00A50DE8" w:rsidRDefault="00F05B94" w14:paraId="3AD66B92" w14:textId="50153643">
      <w:pPr>
        <w:pStyle w:val="p1"/>
        <w:numPr>
          <w:ilvl w:val="0"/>
          <w:numId w:val="1"/>
        </w:numPr>
        <w:rPr>
          <w:rFonts w:ascii="Cambria" w:hAnsi="Cambria"/>
          <w:sz w:val="24"/>
          <w:szCs w:val="24"/>
        </w:rPr>
      </w:pPr>
      <w:r w:rsidRPr="00F05B94">
        <w:rPr>
          <w:rFonts w:ascii="Cambria" w:hAnsi="Cambria"/>
          <w:sz w:val="24"/>
          <w:szCs w:val="24"/>
        </w:rPr>
        <w:t>Finalize expansion of initiating visit codes for community health integration (CHI) and principal illness navigation (PIN) services to include psychiatric diagnostic evaluations and health behavior assessment and intervention services</w:t>
      </w:r>
      <w:r>
        <w:rPr>
          <w:rFonts w:ascii="Cambria" w:hAnsi="Cambria"/>
          <w:sz w:val="24"/>
          <w:szCs w:val="24"/>
        </w:rPr>
        <w:t>; and</w:t>
      </w:r>
    </w:p>
    <w:p w:rsidRPr="00832413" w:rsidR="001F0014" w:rsidP="00A50DE8" w:rsidRDefault="00832413" w14:paraId="44BE7C77" w14:textId="77E54EA1">
      <w:pPr>
        <w:pStyle w:val="p1"/>
        <w:numPr>
          <w:ilvl w:val="0"/>
          <w:numId w:val="1"/>
        </w:numPr>
        <w:rPr>
          <w:rFonts w:ascii="Cambria" w:hAnsi="Cambria"/>
          <w:sz w:val="24"/>
          <w:szCs w:val="24"/>
        </w:rPr>
      </w:pPr>
      <w:r w:rsidRPr="00832413">
        <w:rPr>
          <w:rFonts w:ascii="Cambria" w:hAnsi="Cambria"/>
          <w:sz w:val="24"/>
          <w:szCs w:val="24"/>
        </w:rPr>
        <w:t>Maintain coverage for the Social Determinants of Health Risk Assessment (HCPCS G0136</w:t>
      </w:r>
      <w:r>
        <w:rPr>
          <w:rFonts w:ascii="Cambria" w:hAnsi="Cambria"/>
          <w:sz w:val="24"/>
          <w:szCs w:val="24"/>
        </w:rPr>
        <w:t>)</w:t>
      </w:r>
      <w:r w:rsidRPr="00832413" w:rsidR="1823DD8C">
        <w:rPr>
          <w:rFonts w:ascii="Cambria" w:hAnsi="Cambria"/>
          <w:sz w:val="24"/>
          <w:szCs w:val="24"/>
        </w:rPr>
        <w:t>.</w:t>
      </w:r>
    </w:p>
    <w:p w:rsidRPr="0055026C" w:rsidR="00A50DE8" w:rsidP="00A50DE8" w:rsidRDefault="00A50DE8" w14:paraId="503CD454" w14:textId="77777777">
      <w:pPr>
        <w:pStyle w:val="p1"/>
        <w:rPr>
          <w:rFonts w:ascii="Cambria" w:hAnsi="Cambria"/>
          <w:sz w:val="24"/>
          <w:szCs w:val="24"/>
        </w:rPr>
      </w:pPr>
    </w:p>
    <w:p w:rsidRPr="0055026C" w:rsidR="00A50DE8" w:rsidP="00A50DE8" w:rsidRDefault="00A50DE8" w14:paraId="48AA6824" w14:textId="288D498A">
      <w:pPr>
        <w:pStyle w:val="p1"/>
        <w:rPr>
          <w:rFonts w:ascii="Cambria" w:hAnsi="Cambria"/>
          <w:sz w:val="24"/>
          <w:szCs w:val="24"/>
        </w:rPr>
      </w:pPr>
      <w:r w:rsidRPr="0055026C">
        <w:rPr>
          <w:rFonts w:ascii="Cambria" w:hAnsi="Cambria"/>
          <w:sz w:val="24"/>
          <w:szCs w:val="24"/>
        </w:rPr>
        <w:t xml:space="preserve">We thank </w:t>
      </w:r>
      <w:r w:rsidRPr="0055026C" w:rsidR="001F0014">
        <w:rPr>
          <w:rFonts w:ascii="Cambria" w:hAnsi="Cambria"/>
          <w:sz w:val="24"/>
          <w:szCs w:val="24"/>
        </w:rPr>
        <w:t>CMS for the opportunity to provide feedback on the proposed rule and for its continued leadership in expanding behavioral health care access. Should you have any questions</w:t>
      </w:r>
      <w:r w:rsidRPr="0055026C">
        <w:rPr>
          <w:rFonts w:ascii="Cambria" w:hAnsi="Cambria"/>
          <w:sz w:val="24"/>
          <w:szCs w:val="24"/>
        </w:rPr>
        <w:t xml:space="preserve">, please contact Michele Gazda, Associate Director of Advocacy, Overdose Prevention Initiative at </w:t>
      </w:r>
      <w:hyperlink w:history="1" r:id="rId12">
        <w:r w:rsidRPr="0055026C" w:rsidR="00CA3356">
          <w:rPr>
            <w:rStyle w:val="Hyperlink"/>
            <w:rFonts w:ascii="Cambria" w:hAnsi="Cambria"/>
            <w:sz w:val="24"/>
            <w:szCs w:val="24"/>
          </w:rPr>
          <w:t>mgazda@advocacyincubator.org</w:t>
        </w:r>
      </w:hyperlink>
      <w:r w:rsidRPr="0055026C">
        <w:rPr>
          <w:rFonts w:ascii="Cambria" w:hAnsi="Cambria"/>
          <w:sz w:val="24"/>
          <w:szCs w:val="24"/>
        </w:rPr>
        <w:t>.</w:t>
      </w:r>
    </w:p>
    <w:p w:rsidRPr="0055026C" w:rsidR="00A50DE8" w:rsidP="00A50DE8" w:rsidRDefault="00A50DE8" w14:paraId="4C6A0DCF" w14:textId="77777777">
      <w:pPr>
        <w:pStyle w:val="p1"/>
        <w:rPr>
          <w:rFonts w:ascii="Cambria" w:hAnsi="Cambria"/>
          <w:sz w:val="24"/>
          <w:szCs w:val="24"/>
        </w:rPr>
      </w:pPr>
    </w:p>
    <w:p w:rsidRPr="0055026C" w:rsidR="00A50DE8" w:rsidP="00A50DE8" w:rsidRDefault="00A50DE8" w14:paraId="1BA0AB26" w14:textId="77777777">
      <w:pPr>
        <w:pStyle w:val="p1"/>
        <w:rPr>
          <w:rStyle w:val="s4"/>
          <w:rFonts w:ascii="Cambria" w:hAnsi="Cambria" w:eastAsiaTheme="majorEastAsia"/>
          <w:sz w:val="24"/>
          <w:szCs w:val="24"/>
        </w:rPr>
      </w:pPr>
      <w:r w:rsidRPr="0055026C">
        <w:rPr>
          <w:rStyle w:val="s4"/>
          <w:rFonts w:ascii="Cambria" w:hAnsi="Cambria" w:eastAsiaTheme="majorEastAsia"/>
          <w:sz w:val="24"/>
          <w:szCs w:val="24"/>
        </w:rPr>
        <w:t>Sincerely,</w:t>
      </w:r>
    </w:p>
    <w:p w:rsidRPr="0055026C" w:rsidR="001F0014" w:rsidP="00A50DE8" w:rsidRDefault="001F0014" w14:paraId="1ED62C21" w14:textId="77777777">
      <w:pPr>
        <w:pStyle w:val="p1"/>
        <w:rPr>
          <w:rStyle w:val="s4"/>
          <w:rFonts w:ascii="Cambria" w:hAnsi="Cambria" w:eastAsiaTheme="majorEastAsia"/>
          <w:sz w:val="24"/>
          <w:szCs w:val="24"/>
        </w:rPr>
      </w:pPr>
    </w:p>
    <w:p w:rsidRPr="0055026C" w:rsidR="00CA3356" w:rsidP="00A50DE8" w:rsidRDefault="00737891" w14:paraId="22D61E87" w14:textId="1EB57445">
      <w:pPr>
        <w:pStyle w:val="p1"/>
        <w:rPr>
          <w:rStyle w:val="s4"/>
          <w:rFonts w:ascii="Cambria" w:hAnsi="Cambria" w:eastAsiaTheme="majorEastAsia"/>
          <w:sz w:val="24"/>
          <w:szCs w:val="24"/>
        </w:rPr>
      </w:pPr>
      <w:r>
        <w:rPr>
          <w:rFonts w:ascii="Cambria" w:hAnsi="Cambria" w:eastAsiaTheme="majorEastAsia"/>
          <w:noProof/>
          <w:sz w:val="24"/>
          <w:szCs w:val="24"/>
          <w14:ligatures w14:val="standardContextual"/>
        </w:rPr>
        <w:drawing>
          <wp:inline distT="0" distB="0" distL="0" distR="0" wp14:anchorId="323A35A9" wp14:editId="75D92E3C">
            <wp:extent cx="1352145" cy="630279"/>
            <wp:effectExtent l="0" t="0" r="0" b="5080"/>
            <wp:docPr id="138021037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10376" name="Picture 1" descr="A close-up of a signatur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1180" cy="681104"/>
                    </a:xfrm>
                    <a:prstGeom prst="rect">
                      <a:avLst/>
                    </a:prstGeom>
                  </pic:spPr>
                </pic:pic>
              </a:graphicData>
            </a:graphic>
          </wp:inline>
        </w:drawing>
      </w:r>
    </w:p>
    <w:p w:rsidRPr="0055026C" w:rsidR="0055026C" w:rsidP="00A50DE8" w:rsidRDefault="00A50DE8" w14:paraId="55ACC11F" w14:textId="110E7AEC">
      <w:pPr>
        <w:rPr>
          <w:rStyle w:val="s4"/>
          <w:rFonts w:ascii="Cambria" w:hAnsi="Cambria" w:eastAsiaTheme="majorEastAsia"/>
          <w:sz w:val="24"/>
          <w:szCs w:val="24"/>
        </w:rPr>
      </w:pPr>
      <w:r w:rsidRPr="0055026C">
        <w:rPr>
          <w:rStyle w:val="s4"/>
          <w:rFonts w:ascii="Cambria" w:hAnsi="Cambria" w:eastAsiaTheme="majorEastAsia"/>
          <w:sz w:val="24"/>
          <w:szCs w:val="24"/>
        </w:rPr>
        <w:t>Libby Jones, Associate Vice President, Overdose Prevention Initiative</w:t>
      </w:r>
    </w:p>
    <w:p w:rsidRPr="0055026C" w:rsidR="0055026C" w:rsidRDefault="0055026C" w14:paraId="738E5A11" w14:textId="77777777">
      <w:pPr>
        <w:rPr>
          <w:rStyle w:val="s4"/>
          <w:rFonts w:ascii="Cambria" w:hAnsi="Cambria" w:eastAsiaTheme="majorEastAsia"/>
          <w:sz w:val="24"/>
          <w:szCs w:val="24"/>
        </w:rPr>
      </w:pPr>
      <w:r w:rsidRPr="0055026C">
        <w:rPr>
          <w:rStyle w:val="s4"/>
          <w:rFonts w:ascii="Cambria" w:hAnsi="Cambria" w:eastAsiaTheme="majorEastAsia"/>
          <w:sz w:val="24"/>
          <w:szCs w:val="24"/>
        </w:rPr>
        <w:br w:type="page"/>
      </w:r>
    </w:p>
    <w:p w:rsidR="00BB7509" w:rsidP="00A50DE8" w:rsidRDefault="00B49734" w14:paraId="1D103002" w14:textId="7E434FD2">
      <w:pPr>
        <w:rPr>
          <w:rFonts w:ascii="Cambria" w:hAnsi="Cambria"/>
        </w:rPr>
      </w:pPr>
      <w:r w:rsidRPr="72543F5F">
        <w:rPr>
          <w:rFonts w:ascii="Cambria" w:hAnsi="Cambria"/>
        </w:rPr>
        <w:lastRenderedPageBreak/>
        <w:t xml:space="preserve">Overdose deaths in the U.S. fell by nearly 27% over the past year, according to recent </w:t>
      </w:r>
      <w:r w:rsidR="00DA6593">
        <w:rPr>
          <w:rFonts w:ascii="Cambria" w:hAnsi="Cambria"/>
        </w:rPr>
        <w:t>data from the Department of Health and Human Services (HHS)</w:t>
      </w:r>
      <w:r w:rsidRPr="72543F5F" w:rsidR="7D2704E3">
        <w:rPr>
          <w:rFonts w:ascii="Cambria" w:hAnsi="Cambria"/>
        </w:rPr>
        <w:t>.</w:t>
      </w:r>
      <w:r w:rsidRPr="72543F5F" w:rsidR="5CFA959D">
        <w:rPr>
          <w:rFonts w:ascii="Cambria" w:hAnsi="Cambria"/>
        </w:rPr>
        <w:t xml:space="preserve"> This is</w:t>
      </w:r>
      <w:r w:rsidRPr="72543F5F">
        <w:rPr>
          <w:rFonts w:ascii="Cambria" w:hAnsi="Cambria"/>
        </w:rPr>
        <w:t xml:space="preserve"> an encouraging sign of progress driven by landmark legislation such as the </w:t>
      </w:r>
      <w:r w:rsidRPr="72543F5F" w:rsidR="5BA3F27B">
        <w:rPr>
          <w:rFonts w:ascii="Cambria" w:hAnsi="Cambria" w:eastAsia="Cambria" w:cs="Cambria"/>
        </w:rPr>
        <w:t>Substance Use Disorder Prevention that Promotes Opioid Recovery and Treatment (SUPPORT) for Patients and Communities Act</w:t>
      </w:r>
      <w:r w:rsidRPr="72543F5F">
        <w:rPr>
          <w:rFonts w:ascii="Cambria" w:hAnsi="Cambria" w:eastAsia="Cambria" w:cs="Cambria"/>
        </w:rPr>
        <w:t xml:space="preserve"> </w:t>
      </w:r>
      <w:r w:rsidRPr="72543F5F">
        <w:rPr>
          <w:rFonts w:ascii="Cambria" w:hAnsi="Cambria"/>
        </w:rPr>
        <w:t xml:space="preserve">and sustained federal efforts to expand access to treatment and lifesaving tools like naloxone. </w:t>
      </w:r>
      <w:r w:rsidRPr="72543F5F" w:rsidR="062BDDF9">
        <w:rPr>
          <w:rFonts w:ascii="Cambria" w:hAnsi="Cambria"/>
        </w:rPr>
        <w:t>However, adults 65 and older experienced the largest percentage increase in overdose deaths among all age groups.</w:t>
      </w:r>
      <w:r w:rsidRPr="72543F5F" w:rsidR="00AC2036">
        <w:rPr>
          <w:rStyle w:val="EndnoteReference"/>
          <w:rFonts w:ascii="Cambria" w:hAnsi="Cambria"/>
        </w:rPr>
        <w:endnoteReference w:id="1"/>
      </w:r>
      <w:r w:rsidRPr="72543F5F" w:rsidR="062BDDF9">
        <w:rPr>
          <w:rFonts w:ascii="Cambria" w:hAnsi="Cambria"/>
        </w:rPr>
        <w:t xml:space="preserve"> </w:t>
      </w:r>
      <w:r w:rsidRPr="72543F5F">
        <w:rPr>
          <w:rFonts w:ascii="Cambria" w:hAnsi="Cambria"/>
        </w:rPr>
        <w:t xml:space="preserve">As Congress considers bipartisan </w:t>
      </w:r>
      <w:r w:rsidRPr="72543F5F" w:rsidR="4D84C012">
        <w:rPr>
          <w:rFonts w:ascii="Cambria" w:hAnsi="Cambria"/>
        </w:rPr>
        <w:t>policies</w:t>
      </w:r>
      <w:r w:rsidRPr="72543F5F">
        <w:rPr>
          <w:rFonts w:ascii="Cambria" w:hAnsi="Cambria"/>
        </w:rPr>
        <w:t xml:space="preserve"> to maintain coverage for </w:t>
      </w:r>
      <w:r w:rsidR="00CD72BB">
        <w:rPr>
          <w:rFonts w:ascii="Cambria" w:hAnsi="Cambria"/>
        </w:rPr>
        <w:t>justice-involved</w:t>
      </w:r>
      <w:r w:rsidRPr="72543F5F">
        <w:rPr>
          <w:rFonts w:ascii="Cambria" w:hAnsi="Cambria"/>
        </w:rPr>
        <w:t xml:space="preserve"> beneficiaries, CMS’ payment structure must align with and reinforce these legislative priorities. The opioid crisis remains the nation’s only active public health emergency, and ensuring Medicare beneficiaries can access timely, evidence-based behavioral health care is essential to sustaining momentum and closing persistent gaps.</w:t>
      </w:r>
    </w:p>
    <w:p w:rsidRPr="00F66A5C" w:rsidR="0091473A" w:rsidP="72543F5F" w:rsidRDefault="3611FDB2" w14:paraId="7A802E4A" w14:textId="0385E0E0">
      <w:pPr>
        <w:pStyle w:val="Heading2"/>
        <w:rPr>
          <w:rFonts w:ascii="Cambria" w:hAnsi="Cambria" w:eastAsia="Cambria" w:cs="Cambria"/>
          <w:b/>
          <w:bCs/>
          <w:i/>
          <w:iCs/>
          <w:sz w:val="24"/>
          <w:szCs w:val="24"/>
        </w:rPr>
      </w:pPr>
      <w:r w:rsidRPr="72543F5F">
        <w:rPr>
          <w:rFonts w:ascii="Cambria" w:hAnsi="Cambria" w:eastAsia="Cambria" w:cs="Cambria"/>
          <w:b/>
          <w:bCs/>
          <w:i/>
          <w:iCs/>
          <w:sz w:val="24"/>
          <w:szCs w:val="24"/>
        </w:rPr>
        <w:t>G. Enhanced Care Management</w:t>
      </w:r>
    </w:p>
    <w:p w:rsidR="0091473A" w:rsidP="0091473A" w:rsidRDefault="3611FDB2" w14:paraId="353ECFCA" w14:textId="7C814E1D">
      <w:pPr>
        <w:pStyle w:val="Subtitle"/>
        <w:rPr>
          <w:rFonts w:ascii="Cambria" w:hAnsi="Cambria" w:eastAsia="Cambria"/>
          <w:sz w:val="24"/>
          <w:szCs w:val="24"/>
        </w:rPr>
      </w:pPr>
      <w:r w:rsidRPr="41E7AA8E" w:rsidR="3611FDB2">
        <w:rPr>
          <w:rFonts w:ascii="Cambria" w:hAnsi="Cambria" w:eastAsia="Cambria"/>
          <w:sz w:val="24"/>
          <w:szCs w:val="24"/>
        </w:rPr>
        <w:t xml:space="preserve">2. Behavioral Health Integration Add-on Codes for </w:t>
      </w:r>
      <w:r w:rsidRPr="41E7AA8E" w:rsidR="6E21FDC9">
        <w:rPr>
          <w:rFonts w:ascii="Cambria" w:hAnsi="Cambria" w:eastAsia="Cambria"/>
          <w:sz w:val="24"/>
          <w:szCs w:val="24"/>
        </w:rPr>
        <w:t>Advanced Primary Care Management</w:t>
      </w:r>
      <w:r w:rsidRPr="41E7AA8E" w:rsidR="790E4DE5">
        <w:rPr>
          <w:rFonts w:ascii="Cambria" w:hAnsi="Cambria" w:eastAsia="Cambria"/>
          <w:sz w:val="24"/>
          <w:szCs w:val="24"/>
        </w:rPr>
        <w:t xml:space="preserve"> </w:t>
      </w:r>
      <w:r w:rsidRPr="41E7AA8E" w:rsidR="6E21FDC9">
        <w:rPr>
          <w:rFonts w:ascii="Cambria" w:hAnsi="Cambria" w:eastAsia="Cambria"/>
          <w:sz w:val="24"/>
          <w:szCs w:val="24"/>
        </w:rPr>
        <w:t>(</w:t>
      </w:r>
      <w:r w:rsidRPr="41E7AA8E" w:rsidR="3611FDB2">
        <w:rPr>
          <w:rFonts w:ascii="Cambria" w:hAnsi="Cambria" w:eastAsia="Cambria"/>
          <w:sz w:val="24"/>
          <w:szCs w:val="24"/>
        </w:rPr>
        <w:t>APCM</w:t>
      </w:r>
      <w:r w:rsidRPr="41E7AA8E" w:rsidR="425F05EC">
        <w:rPr>
          <w:rFonts w:ascii="Cambria" w:hAnsi="Cambria" w:eastAsia="Cambria"/>
          <w:sz w:val="24"/>
          <w:szCs w:val="24"/>
        </w:rPr>
        <w:t>)</w:t>
      </w:r>
      <w:r w:rsidRPr="41E7AA8E" w:rsidR="3611FDB2">
        <w:rPr>
          <w:rFonts w:ascii="Cambria" w:hAnsi="Cambria" w:eastAsia="Cambria"/>
          <w:sz w:val="24"/>
          <w:szCs w:val="24"/>
        </w:rPr>
        <w:t xml:space="preserve"> Services</w:t>
      </w:r>
    </w:p>
    <w:p w:rsidR="00B05A0C" w:rsidP="0091473A" w:rsidRDefault="00306411" w14:paraId="358766F0" w14:textId="1D710A3F">
      <w:pPr>
        <w:rPr>
          <w:rFonts w:ascii="Cambria" w:hAnsi="Cambria" w:eastAsia="Cambria" w:cs="Cambria"/>
        </w:rPr>
      </w:pPr>
      <w:r>
        <w:rPr>
          <w:rFonts w:ascii="Cambria" w:hAnsi="Cambria" w:eastAsia="Cambria" w:cs="Cambria"/>
        </w:rPr>
        <w:t xml:space="preserve">The Overdose Prevention Initiative </w:t>
      </w:r>
      <w:r w:rsidR="00C24D26">
        <w:rPr>
          <w:rFonts w:ascii="Cambria" w:hAnsi="Cambria" w:eastAsia="Cambria" w:cs="Cambria"/>
        </w:rPr>
        <w:t xml:space="preserve">(OPI) </w:t>
      </w:r>
      <w:r w:rsidRPr="003D6A56" w:rsidR="003D6A56">
        <w:rPr>
          <w:rFonts w:ascii="Cambria" w:hAnsi="Cambria" w:eastAsia="Cambria" w:cs="Cambria"/>
        </w:rPr>
        <w:t>urges CMS to finalize its proposal to adopt new Advanced Primary Care Management (APCM) add-on codes to support the psychiatric collaborative care model (</w:t>
      </w:r>
      <w:proofErr w:type="spellStart"/>
      <w:r w:rsidRPr="003D6A56" w:rsidR="003D6A56">
        <w:rPr>
          <w:rFonts w:ascii="Cambria" w:hAnsi="Cambria" w:eastAsia="Cambria" w:cs="Cambria"/>
        </w:rPr>
        <w:t>CoCM</w:t>
      </w:r>
      <w:proofErr w:type="spellEnd"/>
      <w:r w:rsidRPr="003D6A56" w:rsidR="003D6A56">
        <w:rPr>
          <w:rFonts w:ascii="Cambria" w:hAnsi="Cambria" w:eastAsia="Cambria" w:cs="Cambria"/>
        </w:rPr>
        <w:t>) and general behavioral health integration (BHI) without requiring time-based documentation. Eliminating unnecessary reporting will reduce provider burden and allow clinicians to spend more time treating Medicare beneficiaries. Expanding codes and reimbursement opportunities will also strengthen access to mental health and substance use disorder (SUD) services in the primary care settings where older adults and people with disabilities already seek care</w:t>
      </w:r>
      <w:r w:rsidRPr="00FF0FF3" w:rsidR="00FF0FF3">
        <w:rPr>
          <w:rFonts w:ascii="Cambria" w:hAnsi="Cambria" w:eastAsia="Cambria" w:cs="Cambria"/>
        </w:rPr>
        <w:t>.</w:t>
      </w:r>
    </w:p>
    <w:p w:rsidRPr="0091473A" w:rsidR="0091473A" w:rsidP="0091473A" w:rsidRDefault="3635428F" w14:paraId="1AF60DF5" w14:textId="27CEFA4C">
      <w:pPr>
        <w:rPr>
          <w:rFonts w:ascii="Cambria" w:hAnsi="Cambria" w:eastAsia="Cambria" w:cs="Cambria"/>
        </w:rPr>
      </w:pPr>
      <w:r w:rsidRPr="72543F5F">
        <w:rPr>
          <w:rFonts w:ascii="Cambria" w:hAnsi="Cambria" w:eastAsia="Cambria" w:cs="Cambria"/>
        </w:rPr>
        <w:t>In 2023, approximately 6.4 million Medicare beneficiaries had a substance use disorder (SUD)</w:t>
      </w:r>
      <w:r w:rsidR="003D6A56">
        <w:rPr>
          <w:rFonts w:ascii="Cambria" w:hAnsi="Cambria" w:eastAsia="Cambria" w:cs="Cambria"/>
        </w:rPr>
        <w:t>, yet the quality of their treatment remains alarmingly low</w:t>
      </w:r>
      <w:r w:rsidRPr="72543F5F">
        <w:rPr>
          <w:rFonts w:ascii="Cambria" w:hAnsi="Cambria" w:eastAsia="Cambria" w:cs="Cambria"/>
        </w:rPr>
        <w:t>.</w:t>
      </w:r>
      <w:r w:rsidRPr="72543F5F" w:rsidR="0091473A">
        <w:rPr>
          <w:rStyle w:val="EndnoteReference"/>
          <w:rFonts w:ascii="Cambria" w:hAnsi="Cambria" w:eastAsia="Cambria" w:cs="Cambria"/>
        </w:rPr>
        <w:endnoteReference w:id="2"/>
      </w:r>
      <w:r w:rsidRPr="72543F5F">
        <w:rPr>
          <w:rFonts w:ascii="Cambria" w:hAnsi="Cambria" w:eastAsia="Cambria" w:cs="Cambria"/>
        </w:rPr>
        <w:t xml:space="preserve"> </w:t>
      </w:r>
      <w:r w:rsidR="00145B9A">
        <w:rPr>
          <w:rFonts w:ascii="Cambria" w:hAnsi="Cambria" w:eastAsia="Cambria" w:cs="Cambria"/>
        </w:rPr>
        <w:t xml:space="preserve">The CY2026 Physician Fee Schedule offers CMS a chance to improve behavioral health care by expanding access to medications for opioid use disorder (MOUD), ensuring continuity of care for justice-involved communities, and advancing overdose prevention services. These </w:t>
      </w:r>
      <w:r w:rsidRPr="72543F5F" w:rsidR="3116D608">
        <w:rPr>
          <w:rFonts w:ascii="Cambria" w:hAnsi="Cambria" w:eastAsia="Cambria" w:cs="Cambria"/>
        </w:rPr>
        <w:t xml:space="preserve">services </w:t>
      </w:r>
      <w:r w:rsidR="00B20272">
        <w:rPr>
          <w:rFonts w:ascii="Cambria" w:hAnsi="Cambria" w:eastAsia="Cambria" w:cs="Cambria"/>
        </w:rPr>
        <w:t xml:space="preserve">(e.g., </w:t>
      </w:r>
      <w:r w:rsidRPr="72543F5F" w:rsidR="3116D608">
        <w:rPr>
          <w:rFonts w:ascii="Cambria" w:hAnsi="Cambria" w:eastAsia="Cambria" w:cs="Cambria"/>
        </w:rPr>
        <w:t>supports, lifestyle interventions, and education</w:t>
      </w:r>
      <w:r w:rsidR="00666E15">
        <w:rPr>
          <w:rFonts w:ascii="Cambria" w:hAnsi="Cambria" w:eastAsia="Cambria" w:cs="Cambria"/>
        </w:rPr>
        <w:t>)</w:t>
      </w:r>
      <w:r w:rsidRPr="72543F5F" w:rsidR="3116D608">
        <w:rPr>
          <w:rFonts w:ascii="Cambria" w:hAnsi="Cambria" w:eastAsia="Cambria" w:cs="Cambria"/>
        </w:rPr>
        <w:t xml:space="preserve"> </w:t>
      </w:r>
      <w:r w:rsidR="00145B9A">
        <w:rPr>
          <w:rFonts w:ascii="Cambria" w:hAnsi="Cambria" w:eastAsia="Cambria" w:cs="Cambria"/>
        </w:rPr>
        <w:t>help individuals</w:t>
      </w:r>
      <w:r w:rsidR="00A429D1">
        <w:rPr>
          <w:rFonts w:ascii="Cambria" w:hAnsi="Cambria" w:eastAsia="Cambria" w:cs="Cambria"/>
        </w:rPr>
        <w:t xml:space="preserve"> self-manage substance use, address underlying drivers of chronic illness, and prevent fatal overdoses</w:t>
      </w:r>
      <w:r w:rsidRPr="72543F5F" w:rsidR="3116D608">
        <w:rPr>
          <w:rFonts w:ascii="Cambria" w:hAnsi="Cambria" w:eastAsia="Cambria" w:cs="Cambria"/>
        </w:rPr>
        <w:t>.</w:t>
      </w:r>
      <w:r w:rsidRPr="72543F5F" w:rsidR="0091473A">
        <w:rPr>
          <w:rStyle w:val="EndnoteReference"/>
          <w:rFonts w:ascii="Cambria" w:hAnsi="Cambria" w:eastAsia="Cambria" w:cs="Cambria"/>
        </w:rPr>
        <w:endnoteReference w:id="3"/>
      </w:r>
      <w:r w:rsidRPr="72543F5F" w:rsidR="3116D608">
        <w:rPr>
          <w:rFonts w:ascii="Cambria" w:hAnsi="Cambria" w:eastAsia="Cambria" w:cs="Cambria"/>
        </w:rPr>
        <w:t xml:space="preserve"> </w:t>
      </w:r>
      <w:r w:rsidR="00A429D1">
        <w:rPr>
          <w:rFonts w:ascii="Cambria" w:hAnsi="Cambria" w:eastAsia="Cambria" w:cs="Cambria"/>
        </w:rPr>
        <w:t>The following sections outline targeted recommendations to ensure behavioral health codes maximize access, flexibility, and quality of care</w:t>
      </w:r>
      <w:r w:rsidRPr="72543F5F" w:rsidR="3611FDB2">
        <w:rPr>
          <w:rFonts w:ascii="Cambria" w:hAnsi="Cambria" w:eastAsia="Cambria" w:cs="Cambria"/>
        </w:rPr>
        <w:t>.</w:t>
      </w:r>
    </w:p>
    <w:p w:rsidRPr="0091473A" w:rsidR="0091473A" w:rsidP="0091473A" w:rsidRDefault="0091473A" w14:paraId="58DF2BCF" w14:textId="093C4AB9">
      <w:pPr>
        <w:rPr>
          <w:rStyle w:val="IntenseEmphasis"/>
          <w:rFonts w:ascii="Cambria" w:hAnsi="Cambria"/>
        </w:rPr>
      </w:pPr>
      <w:r w:rsidRPr="0091473A">
        <w:rPr>
          <w:rStyle w:val="IntenseEmphasis"/>
          <w:rFonts w:ascii="Cambria" w:hAnsi="Cambria"/>
        </w:rPr>
        <w:t>GPCM1 and GPCM 2: Collaborative Care Model (</w:t>
      </w:r>
      <w:proofErr w:type="spellStart"/>
      <w:r w:rsidRPr="0091473A">
        <w:rPr>
          <w:rStyle w:val="IntenseEmphasis"/>
          <w:rFonts w:ascii="Cambria" w:hAnsi="Cambria"/>
        </w:rPr>
        <w:t>CoCM</w:t>
      </w:r>
      <w:proofErr w:type="spellEnd"/>
      <w:r w:rsidRPr="0091473A">
        <w:rPr>
          <w:rStyle w:val="IntenseEmphasis"/>
          <w:rFonts w:ascii="Cambria" w:hAnsi="Cambria"/>
        </w:rPr>
        <w:t>) Initiation and Ongoing Care</w:t>
      </w:r>
    </w:p>
    <w:p w:rsidR="00AF0BEE" w:rsidRDefault="00714183" w14:paraId="79B2B9F3" w14:textId="18FEE093">
      <w:pPr>
        <w:rPr>
          <w:rFonts w:ascii="Cambria" w:hAnsi="Cambria" w:eastAsia="Cambria" w:cs="Cambria"/>
        </w:rPr>
      </w:pPr>
      <w:r w:rsidRPr="00714183">
        <w:rPr>
          <w:rFonts w:ascii="Cambria" w:hAnsi="Cambria" w:eastAsia="Cambria" w:cs="Cambria"/>
        </w:rPr>
        <w:lastRenderedPageBreak/>
        <w:t xml:space="preserve">The proposed </w:t>
      </w:r>
      <w:proofErr w:type="spellStart"/>
      <w:r w:rsidRPr="00714183">
        <w:rPr>
          <w:rFonts w:ascii="Cambria" w:hAnsi="Cambria" w:eastAsia="Cambria" w:cs="Cambria"/>
        </w:rPr>
        <w:t>CoCM</w:t>
      </w:r>
      <w:proofErr w:type="spellEnd"/>
      <w:r w:rsidRPr="00714183">
        <w:rPr>
          <w:rFonts w:ascii="Cambria" w:hAnsi="Cambria" w:eastAsia="Cambria" w:cs="Cambria"/>
        </w:rPr>
        <w:t xml:space="preserve"> add-on codes</w:t>
      </w:r>
      <w:r>
        <w:rPr>
          <w:rFonts w:ascii="Cambria" w:hAnsi="Cambria" w:eastAsia="Cambria" w:cs="Cambria"/>
        </w:rPr>
        <w:t xml:space="preserve"> </w:t>
      </w:r>
      <w:r w:rsidR="003E5A11">
        <w:rPr>
          <w:rFonts w:ascii="Cambria" w:hAnsi="Cambria" w:eastAsia="Cambria" w:cs="Cambria"/>
        </w:rPr>
        <w:t>(</w:t>
      </w:r>
      <w:r>
        <w:rPr>
          <w:rFonts w:ascii="Cambria" w:hAnsi="Cambria" w:eastAsia="Cambria" w:cs="Cambria"/>
        </w:rPr>
        <w:t>G</w:t>
      </w:r>
      <w:r w:rsidRPr="00714183">
        <w:rPr>
          <w:rFonts w:ascii="Cambria" w:hAnsi="Cambria" w:eastAsia="Cambria" w:cs="Cambria"/>
        </w:rPr>
        <w:t>PCM1 for initiation and GPCM2 for ongoing care</w:t>
      </w:r>
      <w:r w:rsidR="003E5A11">
        <w:rPr>
          <w:rFonts w:ascii="Cambria" w:hAnsi="Cambria" w:eastAsia="Cambria" w:cs="Cambria"/>
        </w:rPr>
        <w:t xml:space="preserve">) </w:t>
      </w:r>
      <w:r w:rsidRPr="00714183">
        <w:rPr>
          <w:rFonts w:ascii="Cambria" w:hAnsi="Cambria" w:eastAsia="Cambria" w:cs="Cambria"/>
        </w:rPr>
        <w:t>are designed to strengthen team-based behavioral health services and continuity of care for high-risk populations. To maximize their impact on overdose prevention, CMS should take the following three actions when finalizing the proposal</w:t>
      </w:r>
      <w:r w:rsidR="008D2552">
        <w:rPr>
          <w:rFonts w:ascii="Cambria" w:hAnsi="Cambria" w:eastAsia="Cambria" w:cs="Cambria"/>
        </w:rPr>
        <w:t>:</w:t>
      </w:r>
    </w:p>
    <w:p w:rsidRPr="009000F1" w:rsidR="50E2F678" w:rsidP="009000F1" w:rsidRDefault="00345324" w14:paraId="4991FA0E" w14:textId="55AAE4F2">
      <w:pPr>
        <w:rPr>
          <w:rFonts w:ascii="Cambria" w:hAnsi="Cambria" w:eastAsia="Cambria" w:cs="Cambria"/>
        </w:rPr>
      </w:pPr>
      <w:r w:rsidRPr="009000F1">
        <w:rPr>
          <w:rFonts w:ascii="Cambria" w:hAnsi="Cambria" w:eastAsia="Cambria" w:cs="Cambria"/>
        </w:rPr>
        <w:t xml:space="preserve">CMS should allow opioid treatment programs (OTPs) with formal care coordination agreements with Rural Health Clinics (RHCs) </w:t>
      </w:r>
      <w:r w:rsidRPr="009000F1" w:rsidR="0087432C">
        <w:rPr>
          <w:rFonts w:ascii="Cambria" w:hAnsi="Cambria" w:eastAsia="Cambria" w:cs="Cambria"/>
        </w:rPr>
        <w:t>and</w:t>
      </w:r>
      <w:r w:rsidRPr="009000F1">
        <w:rPr>
          <w:rFonts w:ascii="Cambria" w:hAnsi="Cambria" w:eastAsia="Cambria" w:cs="Cambria"/>
        </w:rPr>
        <w:t xml:space="preserve"> Federally Qualified Health Centers (FQHCs) to bill </w:t>
      </w:r>
      <w:proofErr w:type="spellStart"/>
      <w:r w:rsidRPr="009000F1">
        <w:rPr>
          <w:rFonts w:ascii="Cambria" w:hAnsi="Cambria" w:eastAsia="Cambria" w:cs="Cambria"/>
        </w:rPr>
        <w:t>CoCM</w:t>
      </w:r>
      <w:proofErr w:type="spellEnd"/>
      <w:r w:rsidRPr="009000F1">
        <w:rPr>
          <w:rFonts w:ascii="Cambria" w:hAnsi="Cambria" w:eastAsia="Cambria" w:cs="Cambria"/>
        </w:rPr>
        <w:t xml:space="preserve"> add-on codes when delivering team-based care, including medications for opioid use disorder (MOUD). This would expand access in the settings where older adults and people with disabilities already receive care for chronic conditions that often co-occur with SUD.</w:t>
      </w:r>
      <w:r w:rsidRPr="009000F1" w:rsidR="00E86FE4">
        <w:rPr>
          <w:rFonts w:ascii="Cambria" w:hAnsi="Cambria" w:eastAsia="Cambria" w:cs="Cambria"/>
        </w:rPr>
        <w:t xml:space="preserve"> </w:t>
      </w:r>
      <w:r w:rsidRPr="009000F1" w:rsidR="00277C52">
        <w:rPr>
          <w:rFonts w:ascii="Cambria" w:hAnsi="Cambria" w:eastAsia="Cambria" w:cs="Cambria"/>
        </w:rPr>
        <w:t>Although OTPs provide coordinated care, siloed billing rules and geographic barriers limit their reach</w:t>
      </w:r>
      <w:r w:rsidRPr="009000F1" w:rsidR="004039B8">
        <w:rPr>
          <w:rFonts w:ascii="Cambria" w:hAnsi="Cambria" w:eastAsia="Cambria" w:cs="Cambria"/>
        </w:rPr>
        <w:t xml:space="preserve">, as </w:t>
      </w:r>
      <w:r w:rsidRPr="009000F1" w:rsidR="7A03CC1C">
        <w:rPr>
          <w:rFonts w:ascii="Cambria" w:hAnsi="Cambria" w:eastAsia="Cambria" w:cs="Cambria"/>
        </w:rPr>
        <w:t>only 6% of Medicare beneficiaries with</w:t>
      </w:r>
      <w:r w:rsidRPr="009000F1" w:rsidR="001F600B">
        <w:rPr>
          <w:rFonts w:ascii="Cambria" w:hAnsi="Cambria" w:eastAsia="Cambria" w:cs="Cambria"/>
        </w:rPr>
        <w:t xml:space="preserve"> opioid use disorder</w:t>
      </w:r>
      <w:r w:rsidRPr="009000F1" w:rsidR="7A03CC1C">
        <w:rPr>
          <w:rFonts w:ascii="Cambria" w:hAnsi="Cambria" w:eastAsia="Cambria" w:cs="Cambria"/>
        </w:rPr>
        <w:t xml:space="preserve"> </w:t>
      </w:r>
      <w:r w:rsidRPr="009000F1" w:rsidR="001F600B">
        <w:rPr>
          <w:rFonts w:ascii="Cambria" w:hAnsi="Cambria" w:eastAsia="Cambria" w:cs="Cambria"/>
        </w:rPr>
        <w:t>(</w:t>
      </w:r>
      <w:r w:rsidRPr="009000F1" w:rsidR="7A03CC1C">
        <w:rPr>
          <w:rFonts w:ascii="Cambria" w:hAnsi="Cambria" w:eastAsia="Cambria" w:cs="Cambria"/>
        </w:rPr>
        <w:t>OUD</w:t>
      </w:r>
      <w:r w:rsidRPr="009000F1" w:rsidR="001F600B">
        <w:rPr>
          <w:rFonts w:ascii="Cambria" w:hAnsi="Cambria" w:eastAsia="Cambria" w:cs="Cambria"/>
        </w:rPr>
        <w:t>)</w:t>
      </w:r>
      <w:r w:rsidRPr="009000F1" w:rsidR="7A03CC1C">
        <w:rPr>
          <w:rFonts w:ascii="Cambria" w:hAnsi="Cambria" w:eastAsia="Cambria" w:cs="Cambria"/>
        </w:rPr>
        <w:t xml:space="preserve"> receive care in OTPs.</w:t>
      </w:r>
      <w:r w:rsidRPr="72543F5F" w:rsidR="00A713F3">
        <w:rPr>
          <w:rStyle w:val="EndnoteReference"/>
          <w:rFonts w:ascii="Cambria" w:hAnsi="Cambria" w:eastAsia="Cambria" w:cs="Cambria"/>
        </w:rPr>
        <w:endnoteReference w:id="4"/>
      </w:r>
      <w:r w:rsidRPr="009000F1" w:rsidR="7A03CC1C">
        <w:rPr>
          <w:rFonts w:ascii="Cambria" w:hAnsi="Cambria" w:eastAsia="Cambria" w:cs="Cambria"/>
        </w:rPr>
        <w:t xml:space="preserve"> </w:t>
      </w:r>
      <w:r w:rsidRPr="009000F1" w:rsidR="00B91314">
        <w:rPr>
          <w:rFonts w:ascii="Cambria" w:hAnsi="Cambria" w:eastAsia="Cambria" w:cs="Cambria"/>
        </w:rPr>
        <w:t>Expanding</w:t>
      </w:r>
      <w:r w:rsidRPr="009000F1" w:rsidR="00CA1158">
        <w:rPr>
          <w:rFonts w:ascii="Cambria" w:hAnsi="Cambria" w:eastAsia="Cambria" w:cs="Cambria"/>
        </w:rPr>
        <w:t xml:space="preserve"> </w:t>
      </w:r>
      <w:proofErr w:type="spellStart"/>
      <w:r w:rsidRPr="009000F1" w:rsidR="00364323">
        <w:rPr>
          <w:rFonts w:ascii="Cambria" w:hAnsi="Cambria" w:eastAsia="Cambria" w:cs="Cambria"/>
        </w:rPr>
        <w:t>CoCM</w:t>
      </w:r>
      <w:proofErr w:type="spellEnd"/>
      <w:r w:rsidRPr="009000F1" w:rsidR="00364323">
        <w:rPr>
          <w:rFonts w:ascii="Cambria" w:hAnsi="Cambria" w:eastAsia="Cambria" w:cs="Cambria"/>
        </w:rPr>
        <w:t xml:space="preserve"> code eligibility would improve continuity of care, incentivize team-based treatment, and increase access in </w:t>
      </w:r>
      <w:r w:rsidRPr="009000F1" w:rsidR="00564C49">
        <w:rPr>
          <w:rFonts w:ascii="Cambria" w:hAnsi="Cambria" w:eastAsia="Cambria" w:cs="Cambria"/>
        </w:rPr>
        <w:t xml:space="preserve">areas with limited resources like rural communities. Evidence shows </w:t>
      </w:r>
      <w:r w:rsidRPr="009000F1" w:rsidR="3E4A7997">
        <w:rPr>
          <w:rFonts w:ascii="Cambria" w:hAnsi="Cambria" w:eastAsia="Cambria" w:cs="Cambria"/>
        </w:rPr>
        <w:t xml:space="preserve">integrated care models reduce hospitalizations, </w:t>
      </w:r>
      <w:r w:rsidRPr="009000F1" w:rsidR="00716A8C">
        <w:rPr>
          <w:rFonts w:ascii="Cambria" w:hAnsi="Cambria" w:eastAsia="Cambria" w:cs="Cambria"/>
        </w:rPr>
        <w:t xml:space="preserve">improve patient outcomes, </w:t>
      </w:r>
      <w:r w:rsidRPr="009000F1" w:rsidR="3E4A7997">
        <w:rPr>
          <w:rFonts w:ascii="Cambria" w:hAnsi="Cambria" w:eastAsia="Cambria" w:cs="Cambria"/>
        </w:rPr>
        <w:t xml:space="preserve">and </w:t>
      </w:r>
      <w:r w:rsidRPr="009000F1" w:rsidR="00716A8C">
        <w:rPr>
          <w:rFonts w:ascii="Cambria" w:hAnsi="Cambria" w:eastAsia="Cambria" w:cs="Cambria"/>
        </w:rPr>
        <w:t>support</w:t>
      </w:r>
      <w:r w:rsidRPr="009000F1" w:rsidR="3E4A7997">
        <w:rPr>
          <w:rFonts w:ascii="Cambria" w:hAnsi="Cambria" w:eastAsia="Cambria" w:cs="Cambria"/>
        </w:rPr>
        <w:t xml:space="preserve"> MOUD </w:t>
      </w:r>
      <w:r w:rsidRPr="009000F1" w:rsidR="00716A8C">
        <w:rPr>
          <w:rFonts w:ascii="Cambria" w:hAnsi="Cambria" w:eastAsia="Cambria" w:cs="Cambria"/>
        </w:rPr>
        <w:t>retention</w:t>
      </w:r>
      <w:r w:rsidRPr="009000F1" w:rsidR="1F31B926">
        <w:rPr>
          <w:rFonts w:ascii="Cambria" w:hAnsi="Cambria" w:eastAsia="Cambria" w:cs="Cambria"/>
        </w:rPr>
        <w:t>.</w:t>
      </w:r>
      <w:r w:rsidRPr="72543F5F" w:rsidR="00A713F3">
        <w:rPr>
          <w:rStyle w:val="EndnoteReference"/>
          <w:rFonts w:ascii="Cambria" w:hAnsi="Cambria" w:eastAsia="Cambria" w:cs="Cambria"/>
        </w:rPr>
        <w:endnoteReference w:id="5"/>
      </w:r>
    </w:p>
    <w:p w:rsidRPr="009000F1" w:rsidR="50E2F678" w:rsidP="009000F1" w:rsidRDefault="45CB22F3" w14:paraId="59B61355" w14:textId="16D04A04">
      <w:pPr>
        <w:rPr>
          <w:rStyle w:val="EndnoteReference"/>
          <w:rFonts w:ascii="Cambria" w:hAnsi="Cambria"/>
          <w:vertAlign w:val="baseline"/>
        </w:rPr>
      </w:pPr>
      <w:r w:rsidRPr="009000F1">
        <w:rPr>
          <w:rFonts w:ascii="Cambria" w:hAnsi="Cambria"/>
        </w:rPr>
        <w:t xml:space="preserve">CMS </w:t>
      </w:r>
      <w:r w:rsidRPr="009000F1" w:rsidR="00115C46">
        <w:rPr>
          <w:rFonts w:ascii="Cambria" w:hAnsi="Cambria"/>
        </w:rPr>
        <w:t xml:space="preserve">should </w:t>
      </w:r>
      <w:r w:rsidRPr="009000F1" w:rsidR="008D2552">
        <w:rPr>
          <w:rFonts w:ascii="Cambria" w:hAnsi="Cambria"/>
        </w:rPr>
        <w:t xml:space="preserve">also </w:t>
      </w:r>
      <w:r w:rsidRPr="009000F1" w:rsidR="00115C46">
        <w:rPr>
          <w:rFonts w:ascii="Cambria" w:hAnsi="Cambria"/>
        </w:rPr>
        <w:t xml:space="preserve">allow </w:t>
      </w:r>
      <w:r w:rsidRPr="009000F1">
        <w:rPr>
          <w:rFonts w:ascii="Cambria" w:hAnsi="Cambria"/>
        </w:rPr>
        <w:t xml:space="preserve">providers and affiliated care teams in carceral and reentry settings to bill the </w:t>
      </w:r>
      <w:proofErr w:type="spellStart"/>
      <w:r w:rsidRPr="009000F1">
        <w:rPr>
          <w:rFonts w:ascii="Cambria" w:hAnsi="Cambria"/>
        </w:rPr>
        <w:t>CoCM</w:t>
      </w:r>
      <w:proofErr w:type="spellEnd"/>
      <w:r w:rsidRPr="009000F1">
        <w:rPr>
          <w:rFonts w:ascii="Cambria" w:hAnsi="Cambria"/>
        </w:rPr>
        <w:t xml:space="preserve"> add-on codes </w:t>
      </w:r>
      <w:r w:rsidRPr="009000F1" w:rsidR="00D20E13">
        <w:rPr>
          <w:rFonts w:ascii="Cambria" w:hAnsi="Cambria"/>
        </w:rPr>
        <w:t>for</w:t>
      </w:r>
      <w:r w:rsidRPr="009000F1">
        <w:rPr>
          <w:rFonts w:ascii="Cambria" w:hAnsi="Cambria"/>
        </w:rPr>
        <w:t xml:space="preserve"> team-based services that support continuity of care for individuals with SUD.</w:t>
      </w:r>
      <w:r w:rsidRPr="009000F1" w:rsidR="00D20E13">
        <w:rPr>
          <w:rFonts w:ascii="Cambria" w:hAnsi="Cambria"/>
        </w:rPr>
        <w:t xml:space="preserve"> People leaving incarceration face overdose death rates up to </w:t>
      </w:r>
      <w:r w:rsidRPr="009000F1" w:rsidR="6E991C59">
        <w:rPr>
          <w:rFonts w:ascii="Cambria" w:hAnsi="Cambria"/>
        </w:rPr>
        <w:t>129 times higher than those of the general population</w:t>
      </w:r>
      <w:r w:rsidRPr="009000F1" w:rsidR="00D20E13">
        <w:rPr>
          <w:rFonts w:ascii="Cambria" w:hAnsi="Cambria"/>
        </w:rPr>
        <w:t xml:space="preserve"> in the first two weeks post-release</w:t>
      </w:r>
      <w:r w:rsidRPr="009000F1" w:rsidR="6E991C59">
        <w:rPr>
          <w:rFonts w:ascii="Cambria" w:hAnsi="Cambria"/>
        </w:rPr>
        <w:t>.</w:t>
      </w:r>
      <w:r w:rsidRPr="72543F5F">
        <w:rPr>
          <w:rStyle w:val="EndnoteReference"/>
          <w:rFonts w:ascii="Cambria" w:hAnsi="Cambria"/>
        </w:rPr>
        <w:endnoteReference w:id="6"/>
      </w:r>
      <w:r w:rsidRPr="009000F1" w:rsidR="6E991C59">
        <w:rPr>
          <w:rFonts w:ascii="Cambria" w:hAnsi="Cambria"/>
        </w:rPr>
        <w:t xml:space="preserve"> </w:t>
      </w:r>
      <w:r w:rsidRPr="009000F1" w:rsidR="0C68A062">
        <w:rPr>
          <w:rFonts w:ascii="Cambria" w:hAnsi="Cambria"/>
        </w:rPr>
        <w:t xml:space="preserve">Ensuring treatment </w:t>
      </w:r>
      <w:r w:rsidRPr="009000F1" w:rsidR="00D20E13">
        <w:rPr>
          <w:rFonts w:ascii="Cambria" w:hAnsi="Cambria"/>
        </w:rPr>
        <w:t xml:space="preserve">before and after release improves continuity, reduces overdose deaths, </w:t>
      </w:r>
      <w:r w:rsidRPr="009000F1" w:rsidR="0C68A062">
        <w:rPr>
          <w:rFonts w:ascii="Cambria" w:hAnsi="Cambria"/>
        </w:rPr>
        <w:t>and lower</w:t>
      </w:r>
      <w:r w:rsidRPr="009000F1" w:rsidR="00D20E13">
        <w:rPr>
          <w:rFonts w:ascii="Cambria" w:hAnsi="Cambria"/>
        </w:rPr>
        <w:t>s</w:t>
      </w:r>
      <w:r w:rsidRPr="009000F1" w:rsidR="0C68A062">
        <w:rPr>
          <w:rFonts w:ascii="Cambria" w:hAnsi="Cambria"/>
        </w:rPr>
        <w:t xml:space="preserve"> recidivism rates.</w:t>
      </w:r>
      <w:r w:rsidRPr="72543F5F">
        <w:rPr>
          <w:rStyle w:val="EndnoteReference"/>
          <w:rFonts w:ascii="Cambria" w:hAnsi="Cambria"/>
        </w:rPr>
        <w:endnoteReference w:id="7"/>
      </w:r>
      <w:r w:rsidRPr="009000F1" w:rsidR="0C68A062">
        <w:rPr>
          <w:rFonts w:ascii="Cambria" w:hAnsi="Cambria"/>
        </w:rPr>
        <w:t xml:space="preserve"> </w:t>
      </w:r>
      <w:r w:rsidRPr="009000F1" w:rsidR="00D20E13">
        <w:rPr>
          <w:rFonts w:ascii="Cambria" w:hAnsi="Cambria"/>
        </w:rPr>
        <w:t>To address provider shortages and gaps in trust, CMS sho</w:t>
      </w:r>
      <w:r w:rsidRPr="009000F1" w:rsidR="009F7271">
        <w:rPr>
          <w:rFonts w:ascii="Cambria" w:hAnsi="Cambria"/>
        </w:rPr>
        <w:t xml:space="preserve">uld also recognize peer support and recovery specialists as part of the qualified care teams, which can strengthen engagement, reduce costs, and improve </w:t>
      </w:r>
      <w:r w:rsidRPr="009000F1">
        <w:rPr>
          <w:rFonts w:ascii="Cambria" w:hAnsi="Cambria"/>
        </w:rPr>
        <w:t>outcomes.</w:t>
      </w:r>
      <w:r w:rsidRPr="72543F5F">
        <w:rPr>
          <w:rStyle w:val="EndnoteReference"/>
          <w:rFonts w:ascii="Cambria" w:hAnsi="Cambria"/>
        </w:rPr>
        <w:endnoteReference w:id="8"/>
      </w:r>
    </w:p>
    <w:p w:rsidRPr="009000F1" w:rsidR="50E2F678" w:rsidP="009000F1" w:rsidRDefault="008D2552" w14:paraId="2AAD282C" w14:textId="3C76C126">
      <w:pPr>
        <w:rPr>
          <w:rStyle w:val="EndnoteReference"/>
          <w:rFonts w:ascii="Cambria" w:hAnsi="Cambria"/>
          <w:vertAlign w:val="baseline"/>
        </w:rPr>
      </w:pPr>
      <w:r w:rsidRPr="009000F1">
        <w:rPr>
          <w:rFonts w:ascii="Cambria" w:hAnsi="Cambria"/>
        </w:rPr>
        <w:t xml:space="preserve">Finally, CMS should clarify that </w:t>
      </w:r>
      <w:r w:rsidRPr="009000F1" w:rsidR="45CB22F3">
        <w:rPr>
          <w:rFonts w:ascii="Cambria" w:hAnsi="Cambria"/>
        </w:rPr>
        <w:t xml:space="preserve">providers delivering early intervention services, such as SUD screening and brief intervention (SBIRT), to individuals awaiting trial may bill </w:t>
      </w:r>
      <w:proofErr w:type="spellStart"/>
      <w:r w:rsidRPr="009000F1" w:rsidR="45CB22F3">
        <w:rPr>
          <w:rFonts w:ascii="Cambria" w:hAnsi="Cambria"/>
        </w:rPr>
        <w:t>CoCM</w:t>
      </w:r>
      <w:proofErr w:type="spellEnd"/>
      <w:r w:rsidRPr="009000F1" w:rsidR="45CB22F3">
        <w:rPr>
          <w:rFonts w:ascii="Cambria" w:hAnsi="Cambria"/>
        </w:rPr>
        <w:t xml:space="preserve"> add-on codes when</w:t>
      </w:r>
      <w:r w:rsidRPr="009000F1" w:rsidR="001C6074">
        <w:rPr>
          <w:rFonts w:ascii="Cambria" w:hAnsi="Cambria"/>
        </w:rPr>
        <w:t xml:space="preserve"> </w:t>
      </w:r>
      <w:r w:rsidRPr="009000F1" w:rsidR="003E704C">
        <w:rPr>
          <w:rFonts w:ascii="Cambria" w:hAnsi="Cambria"/>
        </w:rPr>
        <w:t>part of a qualified care team.</w:t>
      </w:r>
      <w:r w:rsidRPr="009000F1" w:rsidR="001C6074">
        <w:rPr>
          <w:rFonts w:ascii="Cambria" w:hAnsi="Cambria"/>
        </w:rPr>
        <w:t xml:space="preserve"> Early intervention during pretrial custody or supervision can identify high-risk individuals, initiate treatment, and prevent overdoses.</w:t>
      </w:r>
      <w:r w:rsidRPr="009000F1" w:rsidR="00526C20">
        <w:rPr>
          <w:rFonts w:ascii="Cambria" w:hAnsi="Cambria"/>
        </w:rPr>
        <w:t xml:space="preserve"> </w:t>
      </w:r>
      <w:r w:rsidRPr="009000F1" w:rsidR="00E64C5F">
        <w:rPr>
          <w:rFonts w:ascii="Cambria" w:hAnsi="Cambria"/>
        </w:rPr>
        <w:t>People in the earliest days of detention face a particularly elevated risk of fatal overdose, making timely access to care critical</w:t>
      </w:r>
      <w:r w:rsidRPr="009000F1" w:rsidR="0ED4BBF9">
        <w:rPr>
          <w:rFonts w:ascii="Cambria" w:hAnsi="Cambria" w:eastAsia="Cambria" w:cs="Cambria"/>
        </w:rPr>
        <w:t>.</w:t>
      </w:r>
      <w:r w:rsidRPr="72543F5F" w:rsidR="00A713F3">
        <w:rPr>
          <w:rStyle w:val="EndnoteReference"/>
          <w:rFonts w:ascii="Cambria" w:hAnsi="Cambria" w:eastAsia="Cambria" w:cs="Cambria"/>
        </w:rPr>
        <w:endnoteReference w:id="9"/>
      </w:r>
      <w:r w:rsidRPr="009000F1" w:rsidR="74A10357">
        <w:rPr>
          <w:rStyle w:val="EndnoteReference"/>
          <w:rFonts w:ascii="Cambria" w:hAnsi="Cambria" w:eastAsia="Cambria" w:cs="Cambria"/>
        </w:rPr>
        <w:t xml:space="preserve"> </w:t>
      </w:r>
      <w:r w:rsidRPr="009000F1" w:rsidR="00D116D1">
        <w:rPr>
          <w:rFonts w:ascii="Cambria" w:hAnsi="Cambria" w:eastAsia="Cambria" w:cs="Cambria"/>
        </w:rPr>
        <w:t xml:space="preserve"> Allowing these services will save lives, improve recovery outcomes, and strengthen public safety by reducing </w:t>
      </w:r>
      <w:r w:rsidRPr="009000F1" w:rsidR="4D241DC0">
        <w:rPr>
          <w:rStyle w:val="EndnoteReference"/>
          <w:rFonts w:ascii="Cambria" w:hAnsi="Cambria" w:eastAsia="Cambria" w:cs="Cambria"/>
          <w:vertAlign w:val="baseline"/>
        </w:rPr>
        <w:t>cycle of recidivism.</w:t>
      </w:r>
    </w:p>
    <w:p w:rsidRPr="0091473A" w:rsidR="0091473A" w:rsidP="0091473A" w:rsidRDefault="0091473A" w14:paraId="213717F4" w14:textId="54441EC6">
      <w:pPr>
        <w:rPr>
          <w:rStyle w:val="IntenseEmphasis"/>
          <w:rFonts w:ascii="Cambria" w:hAnsi="Cambria"/>
        </w:rPr>
      </w:pPr>
      <w:r w:rsidRPr="0091473A">
        <w:rPr>
          <w:rStyle w:val="IntenseEmphasis"/>
          <w:rFonts w:ascii="Cambria" w:hAnsi="Cambria"/>
        </w:rPr>
        <w:t>GPCM</w:t>
      </w:r>
      <w:r>
        <w:rPr>
          <w:rStyle w:val="IntenseEmphasis"/>
          <w:rFonts w:ascii="Cambria" w:hAnsi="Cambria"/>
        </w:rPr>
        <w:t>3</w:t>
      </w:r>
      <w:r w:rsidRPr="0091473A">
        <w:rPr>
          <w:rStyle w:val="IntenseEmphasis"/>
          <w:rFonts w:ascii="Cambria" w:hAnsi="Cambria"/>
        </w:rPr>
        <w:t xml:space="preserve">: </w:t>
      </w:r>
      <w:r>
        <w:rPr>
          <w:rStyle w:val="IntenseEmphasis"/>
          <w:rFonts w:ascii="Cambria" w:hAnsi="Cambria"/>
        </w:rPr>
        <w:t>Behavioral Health Integration (BHI)</w:t>
      </w:r>
    </w:p>
    <w:p w:rsidR="00E620D6" w:rsidP="0091473A" w:rsidRDefault="0091473A" w14:paraId="5FB6D2B4" w14:textId="6E0BC82C">
      <w:pPr>
        <w:rPr>
          <w:rFonts w:ascii="Cambria" w:hAnsi="Cambria" w:eastAsia="Cambria" w:cs="Cambria"/>
        </w:rPr>
      </w:pPr>
      <w:r w:rsidRPr="0091473A">
        <w:rPr>
          <w:rFonts w:ascii="Cambria" w:hAnsi="Cambria" w:eastAsia="Cambria" w:cs="Cambria"/>
        </w:rPr>
        <w:t xml:space="preserve">The </w:t>
      </w:r>
      <w:r w:rsidRPr="0087432C" w:rsidR="0087432C">
        <w:rPr>
          <w:rFonts w:ascii="Cambria" w:hAnsi="Cambria" w:eastAsia="Cambria" w:cs="Cambria"/>
        </w:rPr>
        <w:t>proposed BHI add-on code (GPCM3) presents an important opportunity to expand integrated behavioral health services for Medicare beneficiaries, including access to MOUD and care for justice-involved individuals. By leveraging primary care to address mild-to-</w:t>
      </w:r>
      <w:r w:rsidRPr="0087432C" w:rsidR="0087432C">
        <w:rPr>
          <w:rFonts w:ascii="Cambria" w:hAnsi="Cambria" w:eastAsia="Cambria" w:cs="Cambria"/>
        </w:rPr>
        <w:lastRenderedPageBreak/>
        <w:t>moderate behavioral health conditions, this code can extend services to rural, justice-involved, and other underserved communities. To maximize its impact on overdose prevention, CMS should take the following three actions when finalizing the proposal</w:t>
      </w:r>
      <w:r w:rsidR="0087432C">
        <w:rPr>
          <w:rFonts w:ascii="Cambria" w:hAnsi="Cambria" w:eastAsia="Cambria" w:cs="Cambria"/>
        </w:rPr>
        <w:t>:</w:t>
      </w:r>
    </w:p>
    <w:p w:rsidRPr="009000F1" w:rsidR="50E2F678" w:rsidP="009000F1" w:rsidRDefault="00CD022C" w14:paraId="0FC6056C" w14:textId="02490D9B">
      <w:pPr>
        <w:rPr>
          <w:rFonts w:ascii="Cambria" w:hAnsi="Cambria" w:eastAsia="Cambria" w:cs="Cambria"/>
        </w:rPr>
      </w:pPr>
      <w:r w:rsidRPr="009000F1">
        <w:rPr>
          <w:rFonts w:ascii="Cambria" w:hAnsi="Cambria" w:eastAsia="Cambria" w:cs="Cambria"/>
        </w:rPr>
        <w:t>CMS should clarify that providers prescribing</w:t>
      </w:r>
      <w:r w:rsidRPr="009000F1" w:rsidR="00ED1044">
        <w:rPr>
          <w:rFonts w:ascii="Cambria" w:hAnsi="Cambria" w:eastAsia="Cambria" w:cs="Cambria"/>
        </w:rPr>
        <w:t xml:space="preserve"> MOUD may bill the BHI add-on code with the APCM base code when treating beneficiaries with OUD. Expanding the range of providers who can deliver and bill for this care, particularly in primary care, would help address workforce shortages, expand access in rural areas, and reduce reliance on </w:t>
      </w:r>
      <w:r w:rsidRPr="009000F1" w:rsidR="462EF29A">
        <w:rPr>
          <w:rFonts w:ascii="Cambria" w:hAnsi="Cambria" w:eastAsia="Cambria" w:cs="Cambria"/>
        </w:rPr>
        <w:t>specialists.</w:t>
      </w:r>
      <w:r w:rsidRPr="72543F5F" w:rsidR="00A713F3">
        <w:rPr>
          <w:rStyle w:val="EndnoteReference"/>
          <w:rFonts w:ascii="Cambria" w:hAnsi="Cambria" w:eastAsia="Cambria" w:cs="Cambria"/>
        </w:rPr>
        <w:endnoteReference w:id="10"/>
      </w:r>
      <w:r w:rsidRPr="009000F1" w:rsidR="462EF29A">
        <w:rPr>
          <w:rFonts w:ascii="Cambria" w:hAnsi="Cambria" w:eastAsia="Cambria" w:cs="Cambria"/>
        </w:rPr>
        <w:t xml:space="preserve"> </w:t>
      </w:r>
      <w:r w:rsidRPr="009000F1" w:rsidR="0038637B">
        <w:rPr>
          <w:rFonts w:ascii="Cambria" w:hAnsi="Cambria" w:eastAsia="Cambria" w:cs="Cambria"/>
        </w:rPr>
        <w:t>While removal of the X-waiver increased the number of clinicians authorized to prescribe buprenorphine, it did not meaningfully increase prescribing or patient access</w:t>
      </w:r>
      <w:r w:rsidRPr="009000F1" w:rsidR="23B49C2D">
        <w:rPr>
          <w:rFonts w:ascii="Cambria" w:hAnsi="Cambria" w:eastAsia="Cambria" w:cs="Cambria"/>
        </w:rPr>
        <w:t>.</w:t>
      </w:r>
      <w:r w:rsidRPr="72543F5F" w:rsidR="00A713F3">
        <w:rPr>
          <w:rStyle w:val="EndnoteReference"/>
          <w:rFonts w:ascii="Cambria" w:hAnsi="Cambria" w:eastAsia="Cambria" w:cs="Cambria"/>
        </w:rPr>
        <w:endnoteReference w:id="11"/>
      </w:r>
      <w:r w:rsidRPr="009000F1" w:rsidR="23B49C2D">
        <w:rPr>
          <w:rFonts w:ascii="Cambria" w:hAnsi="Cambria" w:eastAsia="Cambria" w:cs="Cambria"/>
        </w:rPr>
        <w:t xml:space="preserve"> </w:t>
      </w:r>
      <w:r w:rsidRPr="009000F1" w:rsidR="0039026D">
        <w:rPr>
          <w:rFonts w:ascii="Cambria" w:hAnsi="Cambria" w:eastAsia="Cambria" w:cs="Cambria"/>
        </w:rPr>
        <w:t>This demonstrates the need for broader system-level changes, including clear reimbursement pathways.</w:t>
      </w:r>
      <w:r w:rsidRPr="009000F1" w:rsidR="00472BB5">
        <w:rPr>
          <w:rFonts w:ascii="Cambria" w:hAnsi="Cambria" w:eastAsia="Cambria" w:cs="Cambria"/>
        </w:rPr>
        <w:t xml:space="preserve"> Clarifying billing policies would ensure providers are supported in offering integrated behavioral health services </w:t>
      </w:r>
      <w:r w:rsidRPr="009000F1" w:rsidR="45CB22F3">
        <w:rPr>
          <w:rFonts w:ascii="Cambria" w:hAnsi="Cambria" w:eastAsia="Cambria" w:cs="Cambria"/>
        </w:rPr>
        <w:t>while expanding access to lifesaving MOUD.</w:t>
      </w:r>
    </w:p>
    <w:p w:rsidRPr="009000F1" w:rsidR="00767FE7" w:rsidP="009000F1" w:rsidRDefault="00472BB5" w14:paraId="6EDBCB0A" w14:textId="7ABD043B">
      <w:pPr>
        <w:rPr>
          <w:rFonts w:ascii="Cambria" w:hAnsi="Cambria" w:eastAsia="Cambria" w:cs="Cambria"/>
        </w:rPr>
      </w:pPr>
      <w:r w:rsidRPr="009000F1">
        <w:rPr>
          <w:rFonts w:ascii="Cambria" w:hAnsi="Cambria" w:eastAsia="Cambria" w:cs="Cambria"/>
        </w:rPr>
        <w:t>CMS should also waive prior authorization</w:t>
      </w:r>
      <w:r w:rsidRPr="009000F1" w:rsidR="00A844B2">
        <w:rPr>
          <w:rFonts w:ascii="Cambria" w:hAnsi="Cambria" w:eastAsia="Cambria" w:cs="Cambria"/>
        </w:rPr>
        <w:t xml:space="preserve"> requirements for buprenorphine prescribed under the BHI add-on code to ensure timely access to evidence-based treatment. </w:t>
      </w:r>
      <w:r w:rsidRPr="009000F1" w:rsidR="00A713F3">
        <w:rPr>
          <w:rFonts w:ascii="Cambria" w:hAnsi="Cambria" w:eastAsia="Cambria" w:cs="Cambria"/>
        </w:rPr>
        <w:t xml:space="preserve">Prior authorization requirements create significant barriers to </w:t>
      </w:r>
      <w:r w:rsidRPr="009000F1" w:rsidR="00832FB0">
        <w:rPr>
          <w:rFonts w:ascii="Cambria" w:hAnsi="Cambria" w:eastAsia="Cambria" w:cs="Cambria"/>
        </w:rPr>
        <w:t xml:space="preserve">care, particularly for patients initiating or transitioning treatment, and can delay or interrupt lifesaving therapy. Evidence from Medicaid </w:t>
      </w:r>
      <w:r w:rsidRPr="009000F1" w:rsidR="00A24947">
        <w:rPr>
          <w:rFonts w:ascii="Cambria" w:hAnsi="Cambria" w:eastAsia="Cambria" w:cs="Cambria"/>
        </w:rPr>
        <w:t>and Medicare claims show that removing these requirements improves retention and reduces relapse rates</w:t>
      </w:r>
      <w:r w:rsidRPr="009000F1" w:rsidR="00A713F3">
        <w:rPr>
          <w:rFonts w:ascii="Cambria" w:hAnsi="Cambria" w:eastAsia="Cambria" w:cs="Cambria"/>
        </w:rPr>
        <w:t>.</w:t>
      </w:r>
      <w:r w:rsidR="00247FDE">
        <w:rPr>
          <w:rStyle w:val="EndnoteReference"/>
          <w:rFonts w:ascii="Cambria" w:hAnsi="Cambria" w:eastAsia="Cambria" w:cs="Cambria"/>
        </w:rPr>
        <w:endnoteReference w:id="12"/>
      </w:r>
    </w:p>
    <w:p w:rsidRPr="00C556F8" w:rsidR="50E2F678" w:rsidP="009000F1" w:rsidRDefault="00435494" w14:paraId="0EF11A7F" w14:textId="195E7E7B">
      <w:pPr>
        <w:rPr>
          <w:rStyle w:val="IntenseEmphasis"/>
          <w:rFonts w:ascii="Cambria" w:hAnsi="Cambria" w:eastAsia="Cambria" w:cs="Cambria"/>
          <w:i w:val="0"/>
          <w:iCs w:val="0"/>
          <w:color w:val="auto"/>
          <w:vertAlign w:val="superscript"/>
        </w:rPr>
      </w:pPr>
      <w:r>
        <w:rPr>
          <w:rFonts w:ascii="Cambria" w:hAnsi="Cambria" w:eastAsia="Cambria" w:cs="Cambria"/>
        </w:rPr>
        <w:t xml:space="preserve">Finally, CMS should clarify that providers delivering BHI services to individuals in jails, prisons, and reentry programs may bill the BHI add-on code when meeting </w:t>
      </w:r>
      <w:r w:rsidR="0080039C">
        <w:rPr>
          <w:rFonts w:ascii="Cambria" w:hAnsi="Cambria" w:eastAsia="Cambria" w:cs="Cambria"/>
        </w:rPr>
        <w:t xml:space="preserve">appropriate </w:t>
      </w:r>
      <w:r>
        <w:rPr>
          <w:rFonts w:ascii="Cambria" w:hAnsi="Cambria" w:eastAsia="Cambria" w:cs="Cambria"/>
        </w:rPr>
        <w:t>clinical and qualit</w:t>
      </w:r>
      <w:r w:rsidR="0080039C">
        <w:rPr>
          <w:rFonts w:ascii="Cambria" w:hAnsi="Cambria" w:eastAsia="Cambria" w:cs="Cambria"/>
        </w:rPr>
        <w:t>y standards. Nearly two-thirds of incarcerated individuals have a SUD, yet most go untreated.</w:t>
      </w:r>
      <w:r w:rsidRPr="72543F5F" w:rsidR="0080039C">
        <w:rPr>
          <w:rStyle w:val="EndnoteReference"/>
          <w:rFonts w:ascii="Cambria" w:hAnsi="Cambria"/>
        </w:rPr>
        <w:endnoteReference w:id="13"/>
      </w:r>
      <w:r w:rsidRPr="72543F5F" w:rsidR="0080039C">
        <w:rPr>
          <w:rFonts w:ascii="Cambria" w:hAnsi="Cambria"/>
        </w:rPr>
        <w:t xml:space="preserve"> </w:t>
      </w:r>
      <w:r w:rsidR="0080039C">
        <w:rPr>
          <w:rFonts w:ascii="Cambria" w:hAnsi="Cambria" w:eastAsia="Cambria" w:cs="Cambria"/>
        </w:rPr>
        <w:t xml:space="preserve"> </w:t>
      </w:r>
      <w:r w:rsidR="004A15EE">
        <w:rPr>
          <w:rFonts w:ascii="Cambria" w:hAnsi="Cambria" w:eastAsia="Cambria" w:cs="Cambria"/>
        </w:rPr>
        <w:t xml:space="preserve">Research shows that structured behavioral health interventions, including all forms of MOUD, are the goal standard for OUD in carceral settings. CMS should tie reimbursement to measurable quality indicators – such as screening rates, treatment initiation and continuation, </w:t>
      </w:r>
      <w:r w:rsidR="00E00F87">
        <w:rPr>
          <w:rFonts w:ascii="Cambria" w:hAnsi="Cambria" w:eastAsia="Cambria" w:cs="Cambria"/>
        </w:rPr>
        <w:t>and post-release follow-up – to ensure effective integrated care is effective and improved outcomes in these high-needs populations</w:t>
      </w:r>
      <w:r w:rsidR="009C6525">
        <w:rPr>
          <w:rFonts w:ascii="Cambria" w:hAnsi="Cambria" w:eastAsia="Cambria" w:cs="Cambria"/>
        </w:rPr>
        <w:t>.</w:t>
      </w:r>
      <w:r w:rsidRPr="72543F5F" w:rsidR="009C6525">
        <w:rPr>
          <w:rStyle w:val="EndnoteReference"/>
          <w:rFonts w:ascii="Cambria" w:hAnsi="Cambria"/>
        </w:rPr>
        <w:endnoteReference w:id="14"/>
      </w:r>
      <w:r w:rsidR="0040386C">
        <w:rPr>
          <w:rFonts w:ascii="Cambria" w:hAnsi="Cambria"/>
          <w:vertAlign w:val="superscript"/>
        </w:rPr>
        <w:t>,</w:t>
      </w:r>
      <w:r w:rsidR="000D1132">
        <w:rPr>
          <w:rStyle w:val="EndnoteReference"/>
          <w:rFonts w:ascii="Cambria" w:hAnsi="Cambria"/>
        </w:rPr>
        <w:endnoteReference w:id="15"/>
      </w:r>
    </w:p>
    <w:p w:rsidRPr="00001F9A" w:rsidR="00001F9A" w:rsidP="0091473A" w:rsidRDefault="00001F9A" w14:paraId="26EBF85F" w14:textId="00FA799F">
      <w:pPr>
        <w:rPr>
          <w:rFonts w:ascii="Cambria" w:hAnsi="Cambria"/>
          <w:i/>
          <w:iCs/>
          <w:color w:val="0F4761" w:themeColor="accent1" w:themeShade="BF"/>
        </w:rPr>
      </w:pPr>
      <w:r w:rsidRPr="0091473A">
        <w:rPr>
          <w:rStyle w:val="IntenseEmphasis"/>
          <w:rFonts w:ascii="Cambria" w:hAnsi="Cambria"/>
        </w:rPr>
        <w:t>G</w:t>
      </w:r>
      <w:r>
        <w:rPr>
          <w:rStyle w:val="IntenseEmphasis"/>
          <w:rFonts w:ascii="Cambria" w:hAnsi="Cambria"/>
        </w:rPr>
        <w:t>-20</w:t>
      </w:r>
      <w:r w:rsidR="00564FE3">
        <w:rPr>
          <w:rStyle w:val="IntenseEmphasis"/>
          <w:rFonts w:ascii="Cambria" w:hAnsi="Cambria"/>
        </w:rPr>
        <w:t>86, G-2087, and G-2088: Office-based SUD Treatment</w:t>
      </w:r>
    </w:p>
    <w:p w:rsidRPr="00C9341D" w:rsidR="00001F9A" w:rsidP="0091473A" w:rsidRDefault="00001F9A" w14:paraId="42D5CF6F" w14:textId="683CF536">
      <w:pPr>
        <w:rPr>
          <w:rFonts w:ascii="Cambria" w:hAnsi="Cambria" w:eastAsia="Cambria" w:cs="Cambria"/>
          <w:vertAlign w:val="superscript"/>
        </w:rPr>
      </w:pPr>
      <w:r>
        <w:rPr>
          <w:rFonts w:ascii="Cambria" w:hAnsi="Cambria" w:eastAsia="Cambria" w:cs="Cambria"/>
        </w:rPr>
        <w:t>In addition, CMS should incorporate existing G-codes (G-2086, G-2087, and G-2088) for office-based SUD treatment as add-on codes for the APCM base-code</w:t>
      </w:r>
      <w:r w:rsidR="008C2DA6">
        <w:rPr>
          <w:rFonts w:ascii="Cambria" w:hAnsi="Cambria" w:eastAsia="Cambria" w:cs="Cambria"/>
        </w:rPr>
        <w:t xml:space="preserve">. These codes </w:t>
      </w:r>
      <w:r w:rsidR="00D70CFB">
        <w:rPr>
          <w:rFonts w:ascii="Cambria" w:hAnsi="Cambria" w:eastAsia="Cambria" w:cs="Cambria"/>
        </w:rPr>
        <w:t>are already established, align with t</w:t>
      </w:r>
      <w:r w:rsidR="008C2DA6">
        <w:rPr>
          <w:rFonts w:ascii="Cambria" w:hAnsi="Cambria" w:eastAsia="Cambria" w:cs="Cambria"/>
        </w:rPr>
        <w:t xml:space="preserve">he </w:t>
      </w:r>
      <w:proofErr w:type="spellStart"/>
      <w:r w:rsidR="008C2DA6">
        <w:rPr>
          <w:rFonts w:ascii="Cambria" w:hAnsi="Cambria" w:eastAsia="Cambria" w:cs="Cambria"/>
        </w:rPr>
        <w:t>CoCM</w:t>
      </w:r>
      <w:proofErr w:type="spellEnd"/>
      <w:r w:rsidR="008C2DA6">
        <w:rPr>
          <w:rFonts w:ascii="Cambria" w:hAnsi="Cambria" w:eastAsia="Cambria" w:cs="Cambria"/>
        </w:rPr>
        <w:t xml:space="preserve"> and BHI add-on codes, </w:t>
      </w:r>
      <w:r w:rsidR="00BD7322">
        <w:rPr>
          <w:rFonts w:ascii="Cambria" w:hAnsi="Cambria" w:eastAsia="Cambria" w:cs="Cambria"/>
        </w:rPr>
        <w:t xml:space="preserve">and could be readily adopted to expand coordinated </w:t>
      </w:r>
      <w:r w:rsidR="003A03C6">
        <w:rPr>
          <w:rFonts w:ascii="Cambria" w:hAnsi="Cambria" w:eastAsia="Cambria" w:cs="Cambria"/>
        </w:rPr>
        <w:t xml:space="preserve">SUD </w:t>
      </w:r>
      <w:r w:rsidR="00BD7322">
        <w:rPr>
          <w:rFonts w:ascii="Cambria" w:hAnsi="Cambria" w:eastAsia="Cambria" w:cs="Cambria"/>
        </w:rPr>
        <w:t>care in primary care and office-</w:t>
      </w:r>
      <w:r w:rsidR="003A03C6">
        <w:rPr>
          <w:rFonts w:ascii="Cambria" w:hAnsi="Cambria" w:eastAsia="Cambria" w:cs="Cambria"/>
        </w:rPr>
        <w:t xml:space="preserve">based </w:t>
      </w:r>
      <w:r w:rsidRPr="006331D0" w:rsidR="006331D0">
        <w:rPr>
          <w:rFonts w:ascii="Cambria" w:hAnsi="Cambria" w:eastAsia="Cambria" w:cs="Cambria"/>
        </w:rPr>
        <w:t>setting</w:t>
      </w:r>
      <w:r w:rsidR="006331D0">
        <w:rPr>
          <w:rFonts w:ascii="Cambria" w:hAnsi="Cambria" w:eastAsia="Cambria" w:cs="Cambria"/>
        </w:rPr>
        <w:t>s.</w:t>
      </w:r>
      <w:r w:rsidRPr="72543F5F" w:rsidR="006331D0">
        <w:rPr>
          <w:rStyle w:val="EndnoteReference"/>
          <w:rFonts w:ascii="Cambria" w:hAnsi="Cambria" w:eastAsia="Cambria" w:cs="Cambria"/>
        </w:rPr>
        <w:endnoteReference w:id="16"/>
      </w:r>
      <w:r w:rsidR="006331D0">
        <w:rPr>
          <w:rFonts w:ascii="Cambria" w:hAnsi="Cambria" w:eastAsia="Cambria" w:cs="Cambria"/>
        </w:rPr>
        <w:t xml:space="preserve"> </w:t>
      </w:r>
      <w:r w:rsidR="003A03C6">
        <w:rPr>
          <w:rFonts w:ascii="Cambria" w:hAnsi="Cambria" w:eastAsia="Cambria" w:cs="Cambria"/>
        </w:rPr>
        <w:t xml:space="preserve">While MOUD is billed separately under Medicare Part D, CMS should continue highlighting MOUD access to ensure it remains visible and prioritized. Including these codes would </w:t>
      </w:r>
      <w:r w:rsidR="00790222">
        <w:rPr>
          <w:rFonts w:ascii="Cambria" w:hAnsi="Cambria" w:eastAsia="Cambria" w:cs="Cambria"/>
        </w:rPr>
        <w:t xml:space="preserve">further </w:t>
      </w:r>
      <w:r w:rsidR="003A03C6">
        <w:rPr>
          <w:rFonts w:ascii="Cambria" w:hAnsi="Cambria" w:eastAsia="Cambria" w:cs="Cambria"/>
        </w:rPr>
        <w:t>advance CMS’ goal</w:t>
      </w:r>
      <w:r w:rsidR="00790222">
        <w:rPr>
          <w:rFonts w:ascii="Cambria" w:hAnsi="Cambria" w:eastAsia="Cambria" w:cs="Cambria"/>
        </w:rPr>
        <w:t xml:space="preserve"> of integrating behavioral health care into enhanced care management, </w:t>
      </w:r>
      <w:r w:rsidR="00790222">
        <w:rPr>
          <w:rFonts w:ascii="Cambria" w:hAnsi="Cambria" w:eastAsia="Cambria" w:cs="Cambria"/>
        </w:rPr>
        <w:lastRenderedPageBreak/>
        <w:t>while improving access to and quality of SUD care for older adults and people with disabilities, a population experiencing rising rates of substance use and overdose.</w:t>
      </w:r>
      <w:r w:rsidRPr="72543F5F" w:rsidR="005D2F0F">
        <w:rPr>
          <w:rStyle w:val="EndnoteReference"/>
          <w:rFonts w:ascii="Cambria" w:hAnsi="Cambria" w:eastAsia="Cambria" w:cs="Cambria"/>
        </w:rPr>
        <w:endnoteReference w:id="17"/>
      </w:r>
      <w:r w:rsidR="00C9341D">
        <w:rPr>
          <w:rFonts w:ascii="Cambria" w:hAnsi="Cambria" w:eastAsia="Cambria" w:cs="Cambria"/>
          <w:vertAlign w:val="superscript"/>
        </w:rPr>
        <w:t>,</w:t>
      </w:r>
      <w:r w:rsidRPr="72543F5F" w:rsidR="00C9341D">
        <w:rPr>
          <w:rStyle w:val="EndnoteReference"/>
          <w:rFonts w:ascii="Cambria" w:hAnsi="Cambria"/>
        </w:rPr>
        <w:endnoteReference w:id="18"/>
      </w:r>
    </w:p>
    <w:p w:rsidRPr="0091473A" w:rsidR="0091473A" w:rsidP="0091473A" w:rsidRDefault="0091473A" w14:paraId="22BC84C9" w14:textId="6C82360F">
      <w:pPr>
        <w:rPr>
          <w:rFonts w:ascii="Cambria" w:hAnsi="Cambria"/>
        </w:rPr>
      </w:pPr>
    </w:p>
    <w:p w:rsidRPr="00F66A5C" w:rsidR="00AC2036" w:rsidP="72543F5F" w:rsidRDefault="09D11748" w14:paraId="67B0AAC5" w14:textId="782B85CD">
      <w:pPr>
        <w:pStyle w:val="Heading2"/>
        <w:rPr>
          <w:rFonts w:ascii="Cambria" w:hAnsi="Cambria" w:eastAsia="Cambria" w:cs="Cambria"/>
          <w:b/>
          <w:bCs/>
          <w:i/>
          <w:iCs/>
          <w:sz w:val="24"/>
          <w:szCs w:val="24"/>
        </w:rPr>
      </w:pPr>
      <w:r w:rsidRPr="72543F5F">
        <w:rPr>
          <w:rFonts w:ascii="Cambria" w:hAnsi="Cambria" w:eastAsia="Cambria" w:cs="Cambria"/>
          <w:b/>
          <w:bCs/>
          <w:i/>
          <w:iCs/>
          <w:sz w:val="24"/>
          <w:szCs w:val="24"/>
        </w:rPr>
        <w:t>I. P</w:t>
      </w:r>
      <w:r w:rsidRPr="72543F5F" w:rsidR="5BA3F27B">
        <w:rPr>
          <w:rFonts w:ascii="Cambria" w:hAnsi="Cambria" w:eastAsia="Cambria" w:cs="Cambria"/>
          <w:b/>
          <w:bCs/>
          <w:i/>
          <w:iCs/>
          <w:sz w:val="24"/>
          <w:szCs w:val="24"/>
        </w:rPr>
        <w:t>olicies to Improve Care for Chronic Illness and Behavioral Health Needs</w:t>
      </w:r>
    </w:p>
    <w:p w:rsidR="0064145A" w:rsidP="0064145A" w:rsidRDefault="09D11748" w14:paraId="4318D46A" w14:textId="2B83EE90">
      <w:pPr>
        <w:pStyle w:val="Subtitle"/>
        <w:rPr>
          <w:rFonts w:ascii="Cambria" w:hAnsi="Cambria" w:eastAsia="Cambria"/>
          <w:sz w:val="24"/>
          <w:szCs w:val="24"/>
        </w:rPr>
      </w:pPr>
      <w:r w:rsidRPr="72543F5F">
        <w:rPr>
          <w:rFonts w:ascii="Cambria" w:hAnsi="Cambria" w:eastAsia="Cambria"/>
          <w:sz w:val="24"/>
          <w:szCs w:val="24"/>
        </w:rPr>
        <w:t>3. Community Health Integration</w:t>
      </w:r>
      <w:r w:rsidR="00DE02B4">
        <w:rPr>
          <w:rFonts w:ascii="Cambria" w:hAnsi="Cambria" w:eastAsia="Cambria"/>
          <w:sz w:val="24"/>
          <w:szCs w:val="24"/>
        </w:rPr>
        <w:t xml:space="preserve"> (CHI)</w:t>
      </w:r>
      <w:r w:rsidRPr="72543F5F">
        <w:rPr>
          <w:rFonts w:ascii="Cambria" w:hAnsi="Cambria" w:eastAsia="Cambria"/>
          <w:sz w:val="24"/>
          <w:szCs w:val="24"/>
        </w:rPr>
        <w:t xml:space="preserve"> and Principal Illness Navigation</w:t>
      </w:r>
      <w:r w:rsidR="00DE02B4">
        <w:rPr>
          <w:rFonts w:ascii="Cambria" w:hAnsi="Cambria" w:eastAsia="Cambria"/>
          <w:sz w:val="24"/>
          <w:szCs w:val="24"/>
        </w:rPr>
        <w:t xml:space="preserve"> (PIN)</w:t>
      </w:r>
      <w:r w:rsidRPr="72543F5F">
        <w:rPr>
          <w:rFonts w:ascii="Cambria" w:hAnsi="Cambria" w:eastAsia="Cambria"/>
          <w:sz w:val="24"/>
          <w:szCs w:val="24"/>
        </w:rPr>
        <w:t xml:space="preserve"> for Behavioral Health</w:t>
      </w:r>
    </w:p>
    <w:p w:rsidRPr="00F23B45" w:rsidR="00E33F2C" w:rsidP="005D0F60" w:rsidRDefault="006336D8" w14:paraId="7DAF0EFB" w14:textId="5EE892C3">
      <w:pPr>
        <w:rPr>
          <w:rFonts w:ascii="Cambria" w:hAnsi="Cambria" w:eastAsia="Cambria" w:cs="Cambria"/>
          <w:vertAlign w:val="superscript"/>
        </w:rPr>
      </w:pPr>
      <w:r>
        <w:rPr>
          <w:rFonts w:ascii="Cambria" w:hAnsi="Cambria" w:eastAsia="Cambria" w:cs="Cambria"/>
        </w:rPr>
        <w:t xml:space="preserve">OPI supports CMS’ </w:t>
      </w:r>
      <w:r w:rsidRPr="007B0BF0" w:rsidR="007B0BF0">
        <w:rPr>
          <w:rFonts w:ascii="Cambria" w:hAnsi="Cambria" w:eastAsia="Cambria" w:cs="Cambria"/>
        </w:rPr>
        <w:t xml:space="preserve">proposal to expand initiating visit codes for community health integration (CHI) and principal illness navigation (PIN) services to include psychiatric diagnostic evaluations and health behavior assessment and intervention services (CPT 90791, 96156, 96158, 96159, 96164, 96165, 96167, 96168). We also support CMS’ recognition of certified social workers (CSWs), marriage and family therapists (MFTs), mental health counselors (MHCs), and peer specialists as qualified auxiliary </w:t>
      </w:r>
      <w:r w:rsidR="00DD6140">
        <w:rPr>
          <w:rFonts w:ascii="Cambria" w:hAnsi="Cambria" w:eastAsia="Cambria" w:cs="Cambria"/>
        </w:rPr>
        <w:t>personnel.</w:t>
      </w:r>
      <w:r w:rsidR="000F6D3C">
        <w:rPr>
          <w:rFonts w:ascii="Cambria" w:hAnsi="Cambria" w:eastAsia="Cambria" w:cs="Cambria"/>
        </w:rPr>
        <w:t xml:space="preserve"> These changes broaden access to behavioral health care and services addressing</w:t>
      </w:r>
      <w:r w:rsidR="00E33F2C">
        <w:rPr>
          <w:rFonts w:ascii="Cambria" w:hAnsi="Cambria" w:eastAsia="Cambria" w:cs="Cambria"/>
        </w:rPr>
        <w:t xml:space="preserve"> underlying drivers while leveraging low-cost and effective peer-delivered services</w:t>
      </w:r>
      <w:r w:rsidRPr="72543F5F" w:rsidR="336B1304">
        <w:rPr>
          <w:rFonts w:ascii="Cambria" w:hAnsi="Cambria" w:eastAsia="Cambria" w:cs="Cambria"/>
        </w:rPr>
        <w:t>.</w:t>
      </w:r>
      <w:r w:rsidRPr="72543F5F" w:rsidR="005D0F60">
        <w:rPr>
          <w:rStyle w:val="EndnoteReference"/>
          <w:rFonts w:ascii="Cambria" w:hAnsi="Cambria" w:eastAsia="Cambria" w:cs="Cambria"/>
        </w:rPr>
        <w:endnoteReference w:id="19"/>
      </w:r>
      <w:r w:rsidR="00F23B45">
        <w:rPr>
          <w:rFonts w:ascii="Cambria" w:hAnsi="Cambria" w:eastAsia="Cambria" w:cs="Cambria"/>
          <w:vertAlign w:val="superscript"/>
        </w:rPr>
        <w:t>,</w:t>
      </w:r>
      <w:r w:rsidRPr="72543F5F" w:rsidR="00F23B45">
        <w:rPr>
          <w:rStyle w:val="EndnoteReference"/>
          <w:rFonts w:ascii="Cambria" w:hAnsi="Cambria" w:eastAsia="Cambria" w:cs="Cambria"/>
        </w:rPr>
        <w:endnoteReference w:id="20"/>
      </w:r>
    </w:p>
    <w:p w:rsidR="50E2F678" w:rsidP="50E2F678" w:rsidRDefault="00E33F2C" w14:paraId="75276D70" w14:textId="7CCC4308">
      <w:pPr>
        <w:rPr>
          <w:rFonts w:ascii="Cambria" w:hAnsi="Cambria" w:eastAsia="Cambria" w:cs="Cambria"/>
        </w:rPr>
      </w:pPr>
      <w:r>
        <w:rPr>
          <w:rFonts w:ascii="Cambria" w:hAnsi="Cambria" w:eastAsia="Cambria" w:cs="Cambria"/>
        </w:rPr>
        <w:t>We note that CHI and PIN services must be initiated within a medical system, which may limit access to critical supports</w:t>
      </w:r>
      <w:r w:rsidR="008E7B3A">
        <w:rPr>
          <w:rFonts w:ascii="Cambria" w:hAnsi="Cambria" w:eastAsia="Cambria" w:cs="Cambria"/>
        </w:rPr>
        <w:t xml:space="preserve"> administered by these qualified auxiliary personnel </w:t>
      </w:r>
      <w:r w:rsidR="00040F73">
        <w:rPr>
          <w:rFonts w:ascii="Cambria" w:hAnsi="Cambria" w:eastAsia="Cambria" w:cs="Cambria"/>
        </w:rPr>
        <w:t>who often operate in community-based settings to provide outreach, engagement, and recovery support.</w:t>
      </w:r>
      <w:r w:rsidRPr="72543F5F" w:rsidR="00040F73">
        <w:rPr>
          <w:rStyle w:val="EndnoteReference"/>
          <w:rFonts w:ascii="Cambria" w:hAnsi="Cambria" w:eastAsia="Cambria" w:cs="Cambria"/>
        </w:rPr>
        <w:endnoteReference w:id="21"/>
      </w:r>
      <w:r w:rsidR="00B10001">
        <w:rPr>
          <w:rFonts w:ascii="Cambria" w:hAnsi="Cambria" w:eastAsia="Cambria" w:cs="Cambria"/>
        </w:rPr>
        <w:t xml:space="preserve"> </w:t>
      </w:r>
      <w:r w:rsidR="00FD1EFC">
        <w:rPr>
          <w:rFonts w:ascii="Cambria" w:hAnsi="Cambria" w:eastAsia="Cambria" w:cs="Cambria"/>
        </w:rPr>
        <w:t xml:space="preserve">We encourage CMS to allow flexibility in this requirement to expand access. Additionally, we recommend clarifying that qualified auxiliary personnel may use codes </w:t>
      </w:r>
      <w:r w:rsidR="004F5546">
        <w:rPr>
          <w:rFonts w:ascii="Cambria" w:hAnsi="Cambria" w:eastAsia="Cambria" w:cs="Cambria"/>
        </w:rPr>
        <w:t xml:space="preserve">G-2086, G-2087, and G-2088 (office-based SUD services) to initiate SUD care, ensuring these providers can support evidence-based treatment </w:t>
      </w:r>
      <w:r w:rsidRPr="005D0F60" w:rsidR="005D0F60">
        <w:rPr>
          <w:rFonts w:ascii="Cambria" w:hAnsi="Cambria" w:eastAsia="Cambria" w:cs="Cambria"/>
        </w:rPr>
        <w:t>while maintaining quality standards.</w:t>
      </w:r>
    </w:p>
    <w:p w:rsidR="0064145A" w:rsidP="0064145A" w:rsidRDefault="0064145A" w14:paraId="37BB6605" w14:textId="5202D056">
      <w:pPr>
        <w:pStyle w:val="Subtitle"/>
        <w:rPr>
          <w:rFonts w:ascii="Cambria" w:hAnsi="Cambria" w:eastAsia="Cambria"/>
          <w:sz w:val="24"/>
          <w:szCs w:val="24"/>
        </w:rPr>
      </w:pPr>
      <w:r>
        <w:rPr>
          <w:rFonts w:ascii="Cambria" w:hAnsi="Cambria" w:eastAsia="Cambria"/>
          <w:sz w:val="24"/>
          <w:szCs w:val="24"/>
        </w:rPr>
        <w:t>4. Technical Refinements to Revise Terminology for Services Related to Upstream Drivers of Health</w:t>
      </w:r>
    </w:p>
    <w:p w:rsidR="00466AD1" w:rsidP="005D0F60" w:rsidRDefault="00466AD1" w14:paraId="33D200F3" w14:textId="05338928">
      <w:pPr>
        <w:rPr>
          <w:rFonts w:ascii="Cambria" w:hAnsi="Cambria" w:eastAsia="Cambria" w:cs="Cambria"/>
        </w:rPr>
      </w:pPr>
      <w:r>
        <w:rPr>
          <w:rFonts w:ascii="Cambria" w:hAnsi="Cambria" w:eastAsia="Cambria" w:cs="Cambria"/>
        </w:rPr>
        <w:t xml:space="preserve">OPI strongly opposes CMS’ proposal to delete HCPCS code </w:t>
      </w:r>
      <w:r w:rsidRPr="005D0F60">
        <w:rPr>
          <w:rFonts w:ascii="Cambria" w:hAnsi="Cambria" w:eastAsia="Cambria" w:cs="Cambria"/>
        </w:rPr>
        <w:t>G0136, which covers the administration of a standardized</w:t>
      </w:r>
      <w:r>
        <w:rPr>
          <w:rFonts w:ascii="Cambria" w:hAnsi="Cambria" w:eastAsia="Cambria" w:cs="Cambria"/>
        </w:rPr>
        <w:t xml:space="preserve"> Social Determinants of Health (SDOH) risk assessment. </w:t>
      </w:r>
      <w:r w:rsidRPr="009375DE" w:rsidR="009375DE">
        <w:rPr>
          <w:rFonts w:ascii="Cambria" w:hAnsi="Cambria" w:eastAsia="Cambria" w:cs="Cambria"/>
        </w:rPr>
        <w:t>Eliminating this code would undermine efforts to identify and address social, behavioral, and environmental factors that directly affect health outcomes, particularly for individuals with</w:t>
      </w:r>
      <w:r w:rsidR="009375DE">
        <w:rPr>
          <w:rFonts w:ascii="Cambria" w:hAnsi="Cambria" w:eastAsia="Cambria" w:cs="Cambria"/>
        </w:rPr>
        <w:t xml:space="preserve"> SUD. Systematic SDOH </w:t>
      </w:r>
      <w:r w:rsidRPr="009375DE" w:rsidR="009375DE">
        <w:rPr>
          <w:rFonts w:ascii="Cambria" w:hAnsi="Cambria" w:eastAsia="Cambria" w:cs="Cambria"/>
        </w:rPr>
        <w:t>assessments support early identification of needs, inform care planning, improve engagement with treatment and recovery services, and help prevent overdose and other adverse outcomes.</w:t>
      </w:r>
      <w:r w:rsidRPr="72543F5F" w:rsidR="00A145FA">
        <w:rPr>
          <w:rStyle w:val="EndnoteReference"/>
          <w:rFonts w:ascii="Cambria" w:hAnsi="Cambria" w:eastAsia="Cambria" w:cs="Cambria"/>
        </w:rPr>
        <w:endnoteReference w:id="22"/>
      </w:r>
    </w:p>
    <w:p w:rsidR="00A145FA" w:rsidP="005D0F60" w:rsidRDefault="00A145FA" w14:paraId="4BE9C5CD" w14:textId="7C9E8278">
      <w:pPr>
        <w:rPr>
          <w:rFonts w:ascii="Cambria" w:hAnsi="Cambria" w:eastAsia="Cambria" w:cs="Cambria"/>
        </w:rPr>
      </w:pPr>
      <w:r w:rsidRPr="41E7AA8E" w:rsidR="00A145FA">
        <w:rPr>
          <w:rFonts w:ascii="Cambria" w:hAnsi="Cambria" w:eastAsia="Cambria" w:cs="Cambria"/>
        </w:rPr>
        <w:t xml:space="preserve">CMS has asserted that the costs of this service are already captured in existing codes, but there is </w:t>
      </w:r>
      <w:r w:rsidRPr="41E7AA8E" w:rsidR="00A145FA">
        <w:rPr>
          <w:rFonts w:ascii="Cambria" w:hAnsi="Cambria" w:eastAsia="Cambria" w:cs="Cambria"/>
        </w:rPr>
        <w:t>no</w:t>
      </w:r>
      <w:r w:rsidRPr="41E7AA8E" w:rsidR="1B467026">
        <w:rPr>
          <w:rFonts w:ascii="Cambria" w:hAnsi="Cambria" w:eastAsia="Cambria" w:cs="Cambria"/>
        </w:rPr>
        <w:t xml:space="preserve"> </w:t>
      </w:r>
      <w:r w:rsidRPr="41E7AA8E" w:rsidR="00A145FA">
        <w:rPr>
          <w:rFonts w:ascii="Cambria" w:hAnsi="Cambria" w:eastAsia="Cambria" w:cs="Cambria"/>
        </w:rPr>
        <w:t xml:space="preserve">evidence to support this claim or to show that SDOH assessments would </w:t>
      </w:r>
      <w:r w:rsidRPr="41E7AA8E" w:rsidR="00A145FA">
        <w:rPr>
          <w:rFonts w:ascii="Cambria" w:hAnsi="Cambria" w:eastAsia="Cambria" w:cs="Cambria"/>
        </w:rPr>
        <w:t>continue without a distinct code. Uptake may be limited by restrictions requiring the code</w:t>
      </w:r>
      <w:r w:rsidRPr="41E7AA8E" w:rsidR="000D2377">
        <w:rPr>
          <w:rFonts w:ascii="Cambria" w:hAnsi="Cambria" w:eastAsia="Cambria" w:cs="Cambria"/>
        </w:rPr>
        <w:t xml:space="preserve"> </w:t>
      </w:r>
      <w:r w:rsidRPr="41E7AA8E" w:rsidR="000C1855">
        <w:rPr>
          <w:rFonts w:ascii="Cambria" w:hAnsi="Cambria" w:eastAsia="Cambria" w:cs="Cambria"/>
        </w:rPr>
        <w:t>to be used only with an initiating visit for CHI and PIN services, which prevents reaching beneficiaries whose primary needs are “upstream drivers” of health rather than clinical care.</w:t>
      </w:r>
      <w:r w:rsidRPr="41E7AA8E" w:rsidR="005B60CA">
        <w:rPr>
          <w:rFonts w:ascii="Cambria" w:hAnsi="Cambria" w:eastAsia="Cambria" w:cs="Cambria"/>
        </w:rPr>
        <w:t xml:space="preserve"> </w:t>
      </w:r>
      <w:r w:rsidRPr="41E7AA8E" w:rsidR="005B60CA">
        <w:rPr>
          <w:rFonts w:ascii="Cambria" w:hAnsi="Cambria" w:eastAsia="Cambria" w:cs="Cambria"/>
        </w:rPr>
        <w:t xml:space="preserve">Allowing </w:t>
      </w:r>
      <w:r w:rsidRPr="41E7AA8E" w:rsidR="005B60CA">
        <w:rPr>
          <w:rFonts w:ascii="Cambria" w:hAnsi="Cambria" w:eastAsia="Cambria" w:cs="Cambria"/>
        </w:rPr>
        <w:t xml:space="preserve">qualified providers </w:t>
      </w:r>
      <w:r w:rsidRPr="41E7AA8E" w:rsidR="005B60CA">
        <w:rPr>
          <w:rFonts w:ascii="Cambria" w:hAnsi="Cambria" w:eastAsia="Cambria" w:cs="Cambria"/>
        </w:rPr>
        <w:t xml:space="preserve">to bill G0136 as a standalone code would expand access, support outreach and engagement, and </w:t>
      </w:r>
      <w:r w:rsidRPr="41E7AA8E" w:rsidR="005B60CA">
        <w:rPr>
          <w:rFonts w:ascii="Cambria" w:hAnsi="Cambria" w:eastAsia="Cambria" w:cs="Cambria"/>
        </w:rPr>
        <w:t>maintain</w:t>
      </w:r>
      <w:r w:rsidRPr="41E7AA8E" w:rsidR="005B60CA">
        <w:rPr>
          <w:rFonts w:ascii="Cambria" w:hAnsi="Cambria" w:eastAsia="Cambria" w:cs="Cambria"/>
        </w:rPr>
        <w:t xml:space="preserve"> proper supervision while avoiding duplication.</w:t>
      </w:r>
    </w:p>
    <w:p w:rsidRPr="005D0F60" w:rsidR="005D0F60" w:rsidP="005D0F60" w:rsidRDefault="005D0F60" w14:paraId="442270B9" w14:textId="56B6EF07">
      <w:pPr>
        <w:rPr>
          <w:rFonts w:ascii="Cambria" w:hAnsi="Cambria" w:eastAsia="Cambria" w:cs="Cambria"/>
        </w:rPr>
      </w:pPr>
      <w:r w:rsidRPr="005D0F60">
        <w:rPr>
          <w:rFonts w:ascii="Cambria" w:hAnsi="Cambria" w:eastAsia="Cambria" w:cs="Cambria"/>
        </w:rPr>
        <w:t>We urge CMS to maintain G0136 for CY2026 and continue</w:t>
      </w:r>
      <w:r w:rsidR="00016427">
        <w:rPr>
          <w:rFonts w:ascii="Cambria" w:hAnsi="Cambria" w:eastAsia="Cambria" w:cs="Cambria"/>
        </w:rPr>
        <w:t xml:space="preserve"> telehealth coverage</w:t>
      </w:r>
      <w:r w:rsidRPr="005D0F60">
        <w:rPr>
          <w:rFonts w:ascii="Cambria" w:hAnsi="Cambria" w:eastAsia="Cambria" w:cs="Cambria"/>
        </w:rPr>
        <w:t>, ensuring that providers can deliver comprehensive, evidence-based care that addresses both clinical and social risk factors</w:t>
      </w:r>
      <w:r w:rsidR="00B23CF3">
        <w:rPr>
          <w:rFonts w:ascii="Cambria" w:hAnsi="Cambria" w:eastAsia="Cambria" w:cs="Cambria"/>
        </w:rPr>
        <w:t xml:space="preserve"> of SUDs and overdoses</w:t>
      </w:r>
      <w:r w:rsidRPr="005D0F60">
        <w:rPr>
          <w:rFonts w:ascii="Cambria" w:hAnsi="Cambria" w:eastAsia="Cambria" w:cs="Cambria"/>
        </w:rPr>
        <w:t>.</w:t>
      </w:r>
    </w:p>
    <w:p w:rsidR="005D0F60" w:rsidP="001C062A" w:rsidRDefault="005D0F60" w14:paraId="30E761CC" w14:textId="784B35EE">
      <w:pPr>
        <w:rPr>
          <w:rFonts w:ascii="Cambria" w:hAnsi="Cambria" w:eastAsia="Cambria" w:cs="Cambria"/>
        </w:rPr>
      </w:pPr>
    </w:p>
    <w:p w:rsidRPr="0055026C" w:rsidR="001266BF" w:rsidP="001C062A" w:rsidRDefault="001266BF" w14:paraId="2DAD5E23" w14:textId="65D226FE">
      <w:pPr>
        <w:rPr>
          <w:rFonts w:ascii="Cambria" w:hAnsi="Cambria"/>
        </w:rPr>
      </w:pPr>
    </w:p>
    <w:p w:rsidRPr="0055026C" w:rsidR="001C062A" w:rsidP="00AC2036" w:rsidRDefault="001C062A" w14:paraId="58A09499" w14:textId="77777777">
      <w:pPr>
        <w:rPr>
          <w:rFonts w:ascii="Cambria" w:hAnsi="Cambria"/>
        </w:rPr>
      </w:pPr>
    </w:p>
    <w:sectPr w:rsidRPr="0055026C" w:rsidR="001C062A" w:rsidSect="008E0E6B">
      <w:headerReference w:type="default" r:id="rId14"/>
      <w:pgSz w:w="12240" w:h="15840" w:orient="portrait"/>
      <w:pgMar w:top="250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D15" w:rsidP="004B7B34" w:rsidRDefault="00C45D15" w14:paraId="32B1DEFD" w14:textId="77777777">
      <w:pPr>
        <w:spacing w:after="0" w:line="240" w:lineRule="auto"/>
      </w:pPr>
      <w:r>
        <w:separator/>
      </w:r>
    </w:p>
  </w:endnote>
  <w:endnote w:type="continuationSeparator" w:id="0">
    <w:p w:rsidR="00C45D15" w:rsidP="004B7B34" w:rsidRDefault="00C45D15" w14:paraId="42794632" w14:textId="77777777">
      <w:pPr>
        <w:spacing w:after="0" w:line="240" w:lineRule="auto"/>
      </w:pPr>
      <w:r>
        <w:continuationSeparator/>
      </w:r>
    </w:p>
  </w:endnote>
  <w:endnote w:id="1">
    <w:p w:rsidRPr="00DF38C4" w:rsidR="72543F5F" w:rsidP="00DF38C4" w:rsidRDefault="72543F5F" w14:paraId="1BFA281A" w14:textId="07491A35">
      <w:pPr>
        <w:pStyle w:val="EndnoteText"/>
        <w:rPr>
          <w:rFonts w:ascii="Aptos" w:hAnsi="Aptos" w:eastAsia="Aptos"/>
        </w:rPr>
      </w:pPr>
      <w:r w:rsidRPr="72543F5F">
        <w:rPr>
          <w:rStyle w:val="EndnoteReference"/>
        </w:rPr>
        <w:endnoteRef/>
      </w:r>
      <w:r w:rsidR="50E2F678">
        <w:t xml:space="preserve"> </w:t>
      </w:r>
      <w:r w:rsidRPr="50E2F678" w:rsidR="50E2F678">
        <w:rPr>
          <w:rFonts w:ascii="Aptos" w:hAnsi="Aptos" w:eastAsia="Aptos"/>
        </w:rPr>
        <w:t xml:space="preserve">Centers for Disease Control and Prevention. (2024, December). </w:t>
      </w:r>
      <w:r w:rsidRPr="50E2F678" w:rsidR="50E2F678">
        <w:rPr>
          <w:rFonts w:ascii="Aptos" w:hAnsi="Aptos" w:eastAsia="Aptos"/>
          <w:i/>
          <w:iCs/>
        </w:rPr>
        <w:t>Drug overdose deaths in the United States, 2003–2023</w:t>
      </w:r>
      <w:r w:rsidRPr="50E2F678" w:rsidR="50E2F678">
        <w:rPr>
          <w:rFonts w:ascii="Aptos" w:hAnsi="Aptos" w:eastAsia="Aptos"/>
        </w:rPr>
        <w:t xml:space="preserve"> (Data Brief No. 522). National Center for Health Statistics. </w:t>
      </w:r>
      <w:hyperlink r:id="rId1">
        <w:r w:rsidRPr="50E2F678" w:rsidR="50E2F678">
          <w:rPr>
            <w:rStyle w:val="Hyperlink"/>
            <w:rFonts w:ascii="Aptos" w:hAnsi="Aptos" w:eastAsia="Aptos"/>
          </w:rPr>
          <w:t>https://www.cdc.gov/nchs/data/databriefs/db522.pdf</w:t>
        </w:r>
      </w:hyperlink>
    </w:p>
  </w:endnote>
  <w:endnote w:id="2">
    <w:p w:rsidRPr="00DF38C4" w:rsidR="72543F5F" w:rsidP="00DF38C4" w:rsidRDefault="72543F5F" w14:paraId="56D95A0B" w14:textId="7E43F95A">
      <w:pPr>
        <w:pStyle w:val="EndnoteText"/>
        <w:rPr>
          <w:rFonts w:ascii="Aptos" w:hAnsi="Aptos" w:eastAsia="Aptos"/>
        </w:rPr>
      </w:pPr>
      <w:r w:rsidRPr="72543F5F">
        <w:rPr>
          <w:rStyle w:val="EndnoteReference"/>
        </w:rPr>
        <w:endnoteRef/>
      </w:r>
      <w:r>
        <w:t xml:space="preserve"> </w:t>
      </w:r>
      <w:r w:rsidRPr="50E2F678">
        <w:rPr>
          <w:rFonts w:ascii="Aptos" w:hAnsi="Aptos" w:eastAsia="Aptos"/>
        </w:rPr>
        <w:t>Mark</w:t>
      </w:r>
      <w:r w:rsidRPr="50E2F678" w:rsidR="50E2F678">
        <w:rPr>
          <w:rFonts w:ascii="Aptos" w:hAnsi="Aptos" w:eastAsia="Aptos"/>
        </w:rPr>
        <w:t xml:space="preserve">, T. L., Parish, W. J., Steinberg, D., Sun, M. J., &amp; Fujita, M. (2025). </w:t>
      </w:r>
      <w:r w:rsidRPr="50E2F678">
        <w:rPr>
          <w:rFonts w:ascii="Aptos" w:hAnsi="Aptos" w:eastAsia="Aptos"/>
        </w:rPr>
        <w:t xml:space="preserve">The Quality </w:t>
      </w:r>
      <w:proofErr w:type="gramStart"/>
      <w:r w:rsidRPr="50E2F678" w:rsidR="50E2F678">
        <w:rPr>
          <w:rFonts w:ascii="Aptos" w:hAnsi="Aptos" w:eastAsia="Aptos"/>
        </w:rPr>
        <w:t>Of</w:t>
      </w:r>
      <w:proofErr w:type="gramEnd"/>
      <w:r w:rsidRPr="50E2F678">
        <w:rPr>
          <w:rFonts w:ascii="Aptos" w:hAnsi="Aptos" w:eastAsia="Aptos"/>
        </w:rPr>
        <w:t xml:space="preserve"> Opioid Use Disorder Treatment </w:t>
      </w:r>
      <w:proofErr w:type="gramStart"/>
      <w:r w:rsidRPr="50E2F678" w:rsidR="50E2F678">
        <w:rPr>
          <w:rFonts w:ascii="Aptos" w:hAnsi="Aptos" w:eastAsia="Aptos"/>
        </w:rPr>
        <w:t>In</w:t>
      </w:r>
      <w:proofErr w:type="gramEnd"/>
      <w:r w:rsidRPr="50E2F678">
        <w:rPr>
          <w:rFonts w:ascii="Aptos" w:hAnsi="Aptos" w:eastAsia="Aptos"/>
        </w:rPr>
        <w:t xml:space="preserve"> Medicare </w:t>
      </w:r>
      <w:r w:rsidRPr="50E2F678" w:rsidR="50E2F678">
        <w:rPr>
          <w:rFonts w:ascii="Aptos" w:hAnsi="Aptos" w:eastAsia="Aptos"/>
        </w:rPr>
        <w:t>Is</w:t>
      </w:r>
      <w:r w:rsidRPr="50E2F678">
        <w:rPr>
          <w:rFonts w:ascii="Aptos" w:hAnsi="Aptos" w:eastAsia="Aptos"/>
        </w:rPr>
        <w:t xml:space="preserve"> Low </w:t>
      </w:r>
      <w:proofErr w:type="gramStart"/>
      <w:r w:rsidRPr="50E2F678" w:rsidR="50E2F678">
        <w:rPr>
          <w:rFonts w:ascii="Aptos" w:hAnsi="Aptos" w:eastAsia="Aptos"/>
        </w:rPr>
        <w:t>And</w:t>
      </w:r>
      <w:proofErr w:type="gramEnd"/>
      <w:r w:rsidRPr="50E2F678">
        <w:rPr>
          <w:rFonts w:ascii="Aptos" w:hAnsi="Aptos" w:eastAsia="Aptos"/>
        </w:rPr>
        <w:t xml:space="preserve"> Lags Behind Medicaid</w:t>
      </w:r>
      <w:r w:rsidRPr="50E2F678" w:rsidR="50E2F678">
        <w:rPr>
          <w:rFonts w:ascii="Aptos" w:hAnsi="Aptos" w:eastAsia="Aptos"/>
        </w:rPr>
        <w:t>.</w:t>
      </w:r>
      <w:r w:rsidRPr="50E2F678">
        <w:rPr>
          <w:rFonts w:ascii="Aptos" w:hAnsi="Aptos" w:eastAsia="Aptos"/>
        </w:rPr>
        <w:t xml:space="preserve"> </w:t>
      </w:r>
      <w:r w:rsidRPr="50E2F678">
        <w:rPr>
          <w:rFonts w:ascii="Aptos" w:hAnsi="Aptos" w:eastAsia="Aptos"/>
          <w:i/>
        </w:rPr>
        <w:t xml:space="preserve">Health </w:t>
      </w:r>
      <w:r w:rsidRPr="50E2F678" w:rsidR="50E2F678">
        <w:rPr>
          <w:rFonts w:ascii="Aptos" w:hAnsi="Aptos" w:eastAsia="Aptos"/>
          <w:i/>
          <w:iCs/>
        </w:rPr>
        <w:t>affairs (Project Hope)</w:t>
      </w:r>
      <w:r w:rsidRPr="50E2F678" w:rsidR="50E2F678">
        <w:rPr>
          <w:rFonts w:ascii="Aptos" w:hAnsi="Aptos" w:eastAsia="Aptos"/>
        </w:rPr>
        <w:t xml:space="preserve">, </w:t>
      </w:r>
      <w:r w:rsidRPr="50E2F678" w:rsidR="50E2F678">
        <w:rPr>
          <w:rFonts w:ascii="Aptos" w:hAnsi="Aptos" w:eastAsia="Aptos"/>
          <w:i/>
          <w:iCs/>
        </w:rPr>
        <w:t>44</w:t>
      </w:r>
      <w:r w:rsidRPr="50E2F678" w:rsidR="50E2F678">
        <w:rPr>
          <w:rFonts w:ascii="Aptos" w:hAnsi="Aptos" w:eastAsia="Aptos"/>
        </w:rPr>
        <w:t>(9), 1086–1091. https://doi.org/10.1377/hlthaff.2025.00207</w:t>
      </w:r>
    </w:p>
  </w:endnote>
  <w:endnote w:id="3">
    <w:p w:rsidRPr="00DF38C4" w:rsidR="72543F5F" w:rsidP="00DF38C4" w:rsidRDefault="72543F5F" w14:paraId="44E38626" w14:textId="00790062">
      <w:pPr>
        <w:pStyle w:val="EndnoteText"/>
        <w:rPr>
          <w:rFonts w:ascii="Aptos" w:hAnsi="Aptos" w:eastAsia="Aptos"/>
        </w:rPr>
      </w:pPr>
      <w:r w:rsidRPr="72543F5F">
        <w:rPr>
          <w:rStyle w:val="EndnoteReference"/>
        </w:rPr>
        <w:endnoteRef/>
      </w:r>
      <w:r>
        <w:t xml:space="preserve"> </w:t>
      </w:r>
      <w:r w:rsidRPr="50E2F678" w:rsidR="50E2F678">
        <w:rPr>
          <w:rFonts w:ascii="Aptos" w:hAnsi="Aptos" w:eastAsia="Aptos"/>
        </w:rPr>
        <w:t xml:space="preserve">Centers for Medicare &amp; Medicaid Services. (2024, December 9). </w:t>
      </w:r>
      <w:r w:rsidRPr="50E2F678">
        <w:rPr>
          <w:rFonts w:ascii="Aptos" w:hAnsi="Aptos" w:eastAsia="Aptos"/>
          <w:i/>
        </w:rPr>
        <w:t xml:space="preserve">Medicare and Medicaid </w:t>
      </w:r>
      <w:r w:rsidRPr="50E2F678" w:rsidR="50E2F678">
        <w:rPr>
          <w:rFonts w:ascii="Aptos" w:hAnsi="Aptos" w:eastAsia="Aptos"/>
          <w:i/>
          <w:iCs/>
        </w:rPr>
        <w:t>programs</w:t>
      </w:r>
      <w:r w:rsidRPr="50E2F678">
        <w:rPr>
          <w:rFonts w:ascii="Aptos" w:hAnsi="Aptos" w:eastAsia="Aptos"/>
          <w:i/>
        </w:rPr>
        <w:t xml:space="preserve">; CY 2025 </w:t>
      </w:r>
      <w:r w:rsidRPr="50E2F678" w:rsidR="50E2F678">
        <w:rPr>
          <w:rFonts w:ascii="Aptos" w:hAnsi="Aptos" w:eastAsia="Aptos"/>
          <w:i/>
          <w:iCs/>
        </w:rPr>
        <w:t>payment policies under</w:t>
      </w:r>
      <w:r w:rsidRPr="50E2F678">
        <w:rPr>
          <w:rFonts w:ascii="Aptos" w:hAnsi="Aptos" w:eastAsia="Aptos"/>
          <w:i/>
        </w:rPr>
        <w:t xml:space="preserve"> the Physician Fee Schedule</w:t>
      </w:r>
      <w:r w:rsidRPr="50E2F678" w:rsidR="50E2F678">
        <w:rPr>
          <w:rFonts w:ascii="Aptos" w:hAnsi="Aptos" w:eastAsia="Aptos"/>
        </w:rPr>
        <w:t xml:space="preserve">. </w:t>
      </w:r>
      <w:r w:rsidRPr="50E2F678" w:rsidR="50E2F678">
        <w:rPr>
          <w:rFonts w:ascii="Aptos" w:hAnsi="Aptos" w:eastAsia="Aptos"/>
          <w:i/>
          <w:iCs/>
        </w:rPr>
        <w:t>Federal Register,</w:t>
      </w:r>
      <w:r w:rsidRPr="50E2F678">
        <w:rPr>
          <w:rFonts w:ascii="Aptos" w:hAnsi="Aptos" w:eastAsia="Aptos"/>
          <w:i/>
        </w:rPr>
        <w:t xml:space="preserve"> 89</w:t>
      </w:r>
      <w:r w:rsidRPr="50E2F678" w:rsidR="50E2F678">
        <w:rPr>
          <w:rFonts w:ascii="Aptos" w:hAnsi="Aptos" w:eastAsia="Aptos"/>
        </w:rPr>
        <w:t>(236),</w:t>
      </w:r>
      <w:r w:rsidRPr="50E2F678">
        <w:rPr>
          <w:rFonts w:ascii="Aptos" w:hAnsi="Aptos" w:eastAsia="Aptos"/>
        </w:rPr>
        <w:t xml:space="preserve"> 97710</w:t>
      </w:r>
      <w:r w:rsidRPr="50E2F678" w:rsidR="50E2F678">
        <w:rPr>
          <w:rFonts w:ascii="Aptos" w:hAnsi="Aptos" w:eastAsia="Aptos"/>
        </w:rPr>
        <w:t>–</w:t>
      </w:r>
      <w:r w:rsidRPr="50E2F678">
        <w:rPr>
          <w:rFonts w:ascii="Aptos" w:hAnsi="Aptos" w:eastAsia="Aptos"/>
        </w:rPr>
        <w:t>98060</w:t>
      </w:r>
      <w:r w:rsidRPr="50E2F678" w:rsidR="50E2F678">
        <w:rPr>
          <w:rFonts w:ascii="Aptos" w:hAnsi="Aptos" w:eastAsia="Aptos"/>
        </w:rPr>
        <w:t xml:space="preserve">. </w:t>
      </w:r>
      <w:hyperlink w:history="1" r:id="rId2">
        <w:r w:rsidRPr="00DE330F" w:rsidR="00DF38C4">
          <w:rPr>
            <w:rStyle w:val="Hyperlink"/>
            <w:rFonts w:ascii="Aptos" w:hAnsi="Aptos" w:eastAsia="Aptos"/>
          </w:rPr>
          <w:t>https://www.federalregister.gov/d/2024-26301</w:t>
        </w:r>
      </w:hyperlink>
      <w:r w:rsidR="00DF38C4">
        <w:rPr>
          <w:rFonts w:ascii="Aptos" w:hAnsi="Aptos" w:eastAsia="Aptos"/>
        </w:rPr>
        <w:t xml:space="preserve"> </w:t>
      </w:r>
    </w:p>
  </w:endnote>
  <w:endnote w:id="4">
    <w:p w:rsidRPr="00DF38C4" w:rsidR="72543F5F" w:rsidP="00DF38C4" w:rsidRDefault="72543F5F" w14:paraId="620DBCFF" w14:textId="0FBDC298">
      <w:pPr>
        <w:pStyle w:val="EndnoteText"/>
        <w:rPr>
          <w:rFonts w:ascii="Aptos" w:hAnsi="Aptos" w:eastAsia="Aptos"/>
        </w:rPr>
      </w:pPr>
      <w:r w:rsidRPr="72543F5F">
        <w:rPr>
          <w:rStyle w:val="EndnoteReference"/>
        </w:rPr>
        <w:endnoteRef/>
      </w:r>
      <w:r>
        <w:t xml:space="preserve"> </w:t>
      </w:r>
      <w:r w:rsidRPr="50E2F678">
        <w:rPr>
          <w:rFonts w:ascii="Aptos" w:hAnsi="Aptos" w:eastAsia="Aptos"/>
        </w:rPr>
        <w:t>Office of Inspector General</w:t>
      </w:r>
      <w:r w:rsidRPr="50E2F678" w:rsidR="50E2F678">
        <w:rPr>
          <w:rFonts w:ascii="Aptos" w:hAnsi="Aptos" w:eastAsia="Aptos"/>
        </w:rPr>
        <w:t xml:space="preserve">. (2025, April). </w:t>
      </w:r>
      <w:r w:rsidRPr="50E2F678">
        <w:rPr>
          <w:rFonts w:ascii="Aptos" w:hAnsi="Aptos" w:eastAsia="Aptos"/>
          <w:i/>
        </w:rPr>
        <w:t xml:space="preserve">Fewer than </w:t>
      </w:r>
      <w:r w:rsidRPr="50E2F678" w:rsidR="50E2F678">
        <w:rPr>
          <w:rFonts w:ascii="Aptos" w:hAnsi="Aptos" w:eastAsia="Aptos"/>
          <w:i/>
          <w:iCs/>
        </w:rPr>
        <w:t>one</w:t>
      </w:r>
      <w:r w:rsidRPr="50E2F678">
        <w:rPr>
          <w:rFonts w:ascii="Aptos" w:hAnsi="Aptos" w:eastAsia="Aptos"/>
          <w:i/>
        </w:rPr>
        <w:t xml:space="preserve"> in </w:t>
      </w:r>
      <w:r w:rsidRPr="50E2F678" w:rsidR="50E2F678">
        <w:rPr>
          <w:rFonts w:ascii="Aptos" w:hAnsi="Aptos" w:eastAsia="Aptos"/>
          <w:i/>
          <w:iCs/>
        </w:rPr>
        <w:t>five</w:t>
      </w:r>
      <w:r w:rsidRPr="50E2F678">
        <w:rPr>
          <w:rFonts w:ascii="Aptos" w:hAnsi="Aptos" w:eastAsia="Aptos"/>
          <w:i/>
        </w:rPr>
        <w:t xml:space="preserve"> Medicare </w:t>
      </w:r>
      <w:r w:rsidRPr="50E2F678" w:rsidR="50E2F678">
        <w:rPr>
          <w:rFonts w:ascii="Aptos" w:hAnsi="Aptos" w:eastAsia="Aptos"/>
          <w:i/>
          <w:iCs/>
        </w:rPr>
        <w:t>enrollees received medication</w:t>
      </w:r>
      <w:r w:rsidRPr="50E2F678">
        <w:rPr>
          <w:rFonts w:ascii="Aptos" w:hAnsi="Aptos" w:eastAsia="Aptos"/>
          <w:i/>
        </w:rPr>
        <w:t xml:space="preserve"> to </w:t>
      </w:r>
      <w:r w:rsidRPr="50E2F678" w:rsidR="50E2F678">
        <w:rPr>
          <w:rFonts w:ascii="Aptos" w:hAnsi="Aptos" w:eastAsia="Aptos"/>
          <w:i/>
          <w:iCs/>
        </w:rPr>
        <w:t>treat their opioid use disorder</w:t>
      </w:r>
      <w:r w:rsidRPr="50E2F678" w:rsidR="50E2F678">
        <w:rPr>
          <w:rFonts w:ascii="Aptos" w:hAnsi="Aptos" w:eastAsia="Aptos"/>
        </w:rPr>
        <w:t xml:space="preserve"> (OEI-02-24-00430).</w:t>
      </w:r>
      <w:r w:rsidRPr="50E2F678">
        <w:rPr>
          <w:rFonts w:ascii="Aptos" w:hAnsi="Aptos" w:eastAsia="Aptos"/>
        </w:rPr>
        <w:t xml:space="preserve"> U.S. </w:t>
      </w:r>
      <w:r w:rsidRPr="50E2F678" w:rsidR="50E2F678">
        <w:rPr>
          <w:rFonts w:ascii="Aptos" w:hAnsi="Aptos" w:eastAsia="Aptos"/>
        </w:rPr>
        <w:t>Department of</w:t>
      </w:r>
      <w:r w:rsidRPr="50E2F678">
        <w:rPr>
          <w:rFonts w:ascii="Aptos" w:hAnsi="Aptos" w:eastAsia="Aptos"/>
        </w:rPr>
        <w:t xml:space="preserve"> Health &amp; Human Services</w:t>
      </w:r>
      <w:r w:rsidRPr="50E2F678" w:rsidR="50E2F678">
        <w:rPr>
          <w:rFonts w:ascii="Aptos" w:hAnsi="Aptos" w:eastAsia="Aptos"/>
        </w:rPr>
        <w:t xml:space="preserve">. </w:t>
      </w:r>
      <w:hyperlink r:id="rId3">
        <w:r w:rsidRPr="50E2F678" w:rsidR="50E2F678">
          <w:rPr>
            <w:rStyle w:val="Hyperlink"/>
            <w:rFonts w:ascii="Aptos" w:hAnsi="Aptos" w:eastAsia="Aptos"/>
          </w:rPr>
          <w:t>https://oig.hhs.gov/documents/evaluation/10253/OEI-02-24-00430.pdf</w:t>
        </w:r>
      </w:hyperlink>
    </w:p>
  </w:endnote>
  <w:endnote w:id="5">
    <w:p w:rsidR="72543F5F" w:rsidP="00DF38C4" w:rsidRDefault="72543F5F" w14:paraId="5AEEF9EC" w14:textId="5CDD7D5C">
      <w:pPr>
        <w:pStyle w:val="EndnoteText"/>
        <w:rPr>
          <w:rFonts w:ascii="Aptos" w:hAnsi="Aptos" w:eastAsia="Aptos"/>
        </w:rPr>
      </w:pPr>
      <w:r w:rsidRPr="72543F5F">
        <w:rPr>
          <w:rStyle w:val="EndnoteReference"/>
        </w:rPr>
        <w:endnoteRef/>
      </w:r>
      <w:r>
        <w:t xml:space="preserve"> </w:t>
      </w:r>
      <w:r w:rsidRPr="50E2F678">
        <w:rPr>
          <w:rFonts w:eastAsiaTheme="minorEastAsia"/>
        </w:rPr>
        <w:t xml:space="preserve">Rath, K. (2025, August 29). </w:t>
      </w:r>
      <w:r w:rsidRPr="50E2F678">
        <w:rPr>
          <w:rFonts w:eastAsiaTheme="minorEastAsia"/>
          <w:i/>
        </w:rPr>
        <w:t>Managing opioid use disorder through collaborative care</w:t>
      </w:r>
      <w:r w:rsidRPr="50E2F678">
        <w:rPr>
          <w:rFonts w:eastAsiaTheme="minorEastAsia"/>
        </w:rPr>
        <w:t xml:space="preserve">. </w:t>
      </w:r>
      <w:r w:rsidRPr="50E2F678">
        <w:rPr>
          <w:rFonts w:eastAsiaTheme="minorEastAsia"/>
          <w:i/>
        </w:rPr>
        <w:t>The American Journal of Managed Care</w:t>
      </w:r>
      <w:r w:rsidRPr="50E2F678">
        <w:rPr>
          <w:rFonts w:eastAsiaTheme="minorEastAsia"/>
        </w:rPr>
        <w:t>. Retrieved from AJMC website.</w:t>
      </w:r>
    </w:p>
  </w:endnote>
  <w:endnote w:id="6">
    <w:p w:rsidR="72543F5F" w:rsidP="00DF38C4" w:rsidRDefault="72543F5F" w14:paraId="36478733" w14:textId="5243AEF8">
      <w:pPr>
        <w:pStyle w:val="EndnoteText"/>
        <w:rPr>
          <w:rFonts w:ascii="Aptos" w:hAnsi="Aptos" w:eastAsia="Aptos"/>
        </w:rPr>
      </w:pPr>
      <w:r w:rsidRPr="72543F5F">
        <w:rPr>
          <w:rStyle w:val="EndnoteReference"/>
        </w:rPr>
        <w:endnoteRef/>
      </w:r>
      <w:r>
        <w:t xml:space="preserve"> </w:t>
      </w:r>
      <w:r w:rsidRPr="72543F5F">
        <w:rPr>
          <w:rFonts w:ascii="Aptos" w:hAnsi="Aptos" w:eastAsia="Aptos"/>
        </w:rPr>
        <w:t xml:space="preserve">Rogers, S., &amp; Wurzburg, S. (2024, October). </w:t>
      </w:r>
      <w:r w:rsidRPr="72543F5F">
        <w:rPr>
          <w:rFonts w:ascii="Aptos" w:hAnsi="Aptos" w:eastAsia="Aptos"/>
          <w:i/>
          <w:iCs/>
        </w:rPr>
        <w:t>Implementing evidence‑based strategies to reduce overdose risk during reentry: A primer for reentry professionals</w:t>
      </w:r>
      <w:r w:rsidRPr="72543F5F">
        <w:rPr>
          <w:rFonts w:ascii="Aptos" w:hAnsi="Aptos" w:eastAsia="Aptos"/>
        </w:rPr>
        <w:t>. CSG Justice Center. Bureau of Justice Assistance.</w:t>
      </w:r>
    </w:p>
  </w:endnote>
  <w:endnote w:id="7">
    <w:p w:rsidR="72543F5F" w:rsidP="00DF38C4" w:rsidRDefault="72543F5F" w14:paraId="38F46E33" w14:textId="3C35C86D">
      <w:pPr>
        <w:pStyle w:val="EndnoteText"/>
        <w:rPr>
          <w:rFonts w:ascii="Aptos" w:hAnsi="Aptos" w:eastAsia="Aptos"/>
        </w:rPr>
      </w:pPr>
      <w:r w:rsidRPr="72543F5F">
        <w:rPr>
          <w:rStyle w:val="EndnoteReference"/>
        </w:rPr>
        <w:endnoteRef/>
      </w:r>
      <w:r>
        <w:t xml:space="preserve"> </w:t>
      </w:r>
      <w:r w:rsidRPr="72543F5F">
        <w:rPr>
          <w:rFonts w:ascii="Aptos" w:hAnsi="Aptos" w:eastAsia="Aptos"/>
        </w:rPr>
        <w:t xml:space="preserve">National Institutes of Health. (2022, February 8). Treatment for opioid use disorder in jail reduces risk of return. </w:t>
      </w:r>
      <w:r w:rsidRPr="72543F5F">
        <w:rPr>
          <w:rFonts w:ascii="Aptos" w:hAnsi="Aptos" w:eastAsia="Aptos"/>
          <w:i/>
          <w:iCs/>
        </w:rPr>
        <w:t>NIH Research Matters</w:t>
      </w:r>
      <w:r w:rsidRPr="72543F5F">
        <w:rPr>
          <w:rFonts w:ascii="Aptos" w:hAnsi="Aptos" w:eastAsia="Aptos"/>
        </w:rPr>
        <w:t>.</w:t>
      </w:r>
    </w:p>
  </w:endnote>
  <w:endnote w:id="8">
    <w:p w:rsidR="72543F5F" w:rsidP="00DF38C4" w:rsidRDefault="72543F5F" w14:paraId="0938103A" w14:textId="5692DA1C">
      <w:pPr>
        <w:pStyle w:val="EndnoteText"/>
      </w:pPr>
      <w:r w:rsidRPr="72543F5F">
        <w:rPr>
          <w:rStyle w:val="EndnoteReference"/>
        </w:rPr>
        <w:endnoteRef/>
      </w:r>
      <w:r>
        <w:t xml:space="preserve"> </w:t>
      </w:r>
      <w:r w:rsidRPr="72543F5F">
        <w:t xml:space="preserve">Substance Abuse and Mental Health Services Administration. (2017). </w:t>
      </w:r>
      <w:r w:rsidRPr="72543F5F">
        <w:rPr>
          <w:i/>
          <w:iCs/>
        </w:rPr>
        <w:t xml:space="preserve">Value of </w:t>
      </w:r>
      <w:proofErr w:type="gramStart"/>
      <w:r w:rsidRPr="72543F5F">
        <w:rPr>
          <w:i/>
          <w:iCs/>
        </w:rPr>
        <w:t>peers</w:t>
      </w:r>
      <w:proofErr w:type="gramEnd"/>
      <w:r w:rsidRPr="72543F5F">
        <w:rPr>
          <w:i/>
          <w:iCs/>
        </w:rPr>
        <w:t xml:space="preserve"> infographics: General peer support</w:t>
      </w:r>
      <w:r w:rsidRPr="72543F5F">
        <w:t xml:space="preserve"> [PDF]. U.S. Department of Health and Human Services. Retrieved from </w:t>
      </w:r>
      <w:hyperlink w:history="1" r:id="rId4">
        <w:r w:rsidRPr="72543F5F">
          <w:rPr>
            <w:rStyle w:val="Hyperlink"/>
          </w:rPr>
          <w:t>https://www.samhsa.gov/sites/default/files/programs_campaigns/brss_tacs/peer-support-2017.pdf</w:t>
        </w:r>
      </w:hyperlink>
    </w:p>
  </w:endnote>
  <w:endnote w:id="9">
    <w:p w:rsidR="72543F5F" w:rsidP="00DF38C4" w:rsidRDefault="72543F5F" w14:paraId="0C2B9A93" w14:textId="6CC3A699">
      <w:pPr>
        <w:pStyle w:val="EndnoteText"/>
        <w:rPr>
          <w:rFonts w:ascii="Aptos" w:hAnsi="Aptos" w:eastAsia="Aptos"/>
        </w:rPr>
      </w:pPr>
      <w:r w:rsidRPr="72543F5F">
        <w:rPr>
          <w:rStyle w:val="EndnoteReference"/>
        </w:rPr>
        <w:endnoteRef/>
      </w:r>
      <w:r>
        <w:t xml:space="preserve"> </w:t>
      </w:r>
      <w:r w:rsidRPr="72543F5F">
        <w:rPr>
          <w:rFonts w:ascii="Aptos" w:hAnsi="Aptos" w:eastAsia="Aptos"/>
          <w:color w:val="000000" w:themeColor="text1"/>
        </w:rPr>
        <w:t xml:space="preserve">Bureau of Justice Statistics. (2022). </w:t>
      </w:r>
      <w:r w:rsidRPr="72543F5F">
        <w:rPr>
          <w:rFonts w:ascii="Aptos" w:hAnsi="Aptos" w:eastAsia="Aptos"/>
          <w:i/>
          <w:iCs/>
          <w:color w:val="000000" w:themeColor="text1"/>
        </w:rPr>
        <w:t xml:space="preserve">Mental health problems of prison and jail inmates </w:t>
      </w:r>
      <w:r w:rsidRPr="72543F5F">
        <w:rPr>
          <w:rFonts w:ascii="Aptos" w:hAnsi="Aptos" w:eastAsia="Aptos"/>
          <w:color w:val="000000" w:themeColor="text1"/>
        </w:rPr>
        <w:t xml:space="preserve">(NCJ 236084). U.S. Department of Justice, Office of Justice Programs. </w:t>
      </w:r>
      <w:hyperlink w:history="1" r:id="rId5">
        <w:r w:rsidRPr="72543F5F">
          <w:rPr>
            <w:rStyle w:val="Hyperlink"/>
            <w:rFonts w:ascii="Aptos" w:hAnsi="Aptos" w:eastAsia="Aptos"/>
          </w:rPr>
          <w:t>https://bjs.ojp.gov/content/pub/pdf/mlj0018st.pdf</w:t>
        </w:r>
      </w:hyperlink>
    </w:p>
  </w:endnote>
  <w:endnote w:id="10">
    <w:p w:rsidR="72543F5F" w:rsidP="00DF38C4" w:rsidRDefault="72543F5F" w14:paraId="02AB8D15" w14:textId="04F7E972">
      <w:pPr>
        <w:pStyle w:val="EndnoteText"/>
        <w:rPr>
          <w:rFonts w:ascii="Aptos" w:hAnsi="Aptos" w:eastAsia="Aptos"/>
        </w:rPr>
      </w:pPr>
      <w:r w:rsidRPr="72543F5F">
        <w:rPr>
          <w:rStyle w:val="EndnoteReference"/>
        </w:rPr>
        <w:endnoteRef/>
      </w:r>
      <w:r>
        <w:t xml:space="preserve"> </w:t>
      </w:r>
      <w:r w:rsidRPr="72543F5F">
        <w:rPr>
          <w:rFonts w:ascii="Aptos" w:hAnsi="Aptos" w:eastAsia="Aptos"/>
        </w:rPr>
        <w:t>McNeely</w:t>
      </w:r>
      <w:r w:rsidRPr="50E2F678" w:rsidR="50E2F678">
        <w:rPr>
          <w:rFonts w:ascii="Aptos" w:hAnsi="Aptos" w:eastAsia="Aptos"/>
        </w:rPr>
        <w:t>,</w:t>
      </w:r>
      <w:r w:rsidRPr="72543F5F">
        <w:rPr>
          <w:rFonts w:ascii="Aptos" w:hAnsi="Aptos" w:eastAsia="Aptos"/>
        </w:rPr>
        <w:t xml:space="preserve"> J</w:t>
      </w:r>
      <w:r w:rsidRPr="50E2F678" w:rsidR="50E2F678">
        <w:rPr>
          <w:rFonts w:ascii="Aptos" w:hAnsi="Aptos" w:eastAsia="Aptos"/>
        </w:rPr>
        <w:t>.,</w:t>
      </w:r>
      <w:r w:rsidRPr="72543F5F">
        <w:rPr>
          <w:rFonts w:ascii="Aptos" w:hAnsi="Aptos" w:eastAsia="Aptos"/>
        </w:rPr>
        <w:t xml:space="preserve"> Schatz</w:t>
      </w:r>
      <w:r w:rsidRPr="50E2F678" w:rsidR="50E2F678">
        <w:rPr>
          <w:rFonts w:ascii="Aptos" w:hAnsi="Aptos" w:eastAsia="Aptos"/>
        </w:rPr>
        <w:t>,</w:t>
      </w:r>
      <w:r w:rsidRPr="72543F5F">
        <w:rPr>
          <w:rFonts w:ascii="Aptos" w:hAnsi="Aptos" w:eastAsia="Aptos"/>
        </w:rPr>
        <w:t xml:space="preserve"> D</w:t>
      </w:r>
      <w:r w:rsidRPr="50E2F678" w:rsidR="50E2F678">
        <w:rPr>
          <w:rFonts w:ascii="Aptos" w:hAnsi="Aptos" w:eastAsia="Aptos"/>
        </w:rPr>
        <w:t>.,</w:t>
      </w:r>
      <w:r w:rsidRPr="72543F5F">
        <w:rPr>
          <w:rFonts w:ascii="Aptos" w:hAnsi="Aptos" w:eastAsia="Aptos"/>
        </w:rPr>
        <w:t xml:space="preserve"> </w:t>
      </w:r>
      <w:proofErr w:type="spellStart"/>
      <w:r w:rsidRPr="72543F5F">
        <w:rPr>
          <w:rFonts w:ascii="Aptos" w:hAnsi="Aptos" w:eastAsia="Aptos"/>
        </w:rPr>
        <w:t>Olfson</w:t>
      </w:r>
      <w:proofErr w:type="spellEnd"/>
      <w:r w:rsidRPr="50E2F678" w:rsidR="50E2F678">
        <w:rPr>
          <w:rFonts w:ascii="Aptos" w:hAnsi="Aptos" w:eastAsia="Aptos"/>
        </w:rPr>
        <w:t>,</w:t>
      </w:r>
      <w:r w:rsidRPr="72543F5F">
        <w:rPr>
          <w:rFonts w:ascii="Aptos" w:hAnsi="Aptos" w:eastAsia="Aptos"/>
        </w:rPr>
        <w:t xml:space="preserve"> M</w:t>
      </w:r>
      <w:r w:rsidRPr="50E2F678" w:rsidR="50E2F678">
        <w:rPr>
          <w:rFonts w:ascii="Aptos" w:hAnsi="Aptos" w:eastAsia="Aptos"/>
        </w:rPr>
        <w:t>.,</w:t>
      </w:r>
      <w:r w:rsidRPr="72543F5F">
        <w:rPr>
          <w:rFonts w:ascii="Aptos" w:hAnsi="Aptos" w:eastAsia="Aptos"/>
        </w:rPr>
        <w:t xml:space="preserve"> Appleton</w:t>
      </w:r>
      <w:r w:rsidRPr="50E2F678" w:rsidR="50E2F678">
        <w:rPr>
          <w:rFonts w:ascii="Aptos" w:hAnsi="Aptos" w:eastAsia="Aptos"/>
        </w:rPr>
        <w:t>,</w:t>
      </w:r>
      <w:r w:rsidRPr="72543F5F">
        <w:rPr>
          <w:rFonts w:ascii="Aptos" w:hAnsi="Aptos" w:eastAsia="Aptos"/>
        </w:rPr>
        <w:t xml:space="preserve"> N</w:t>
      </w:r>
      <w:r w:rsidRPr="50E2F678" w:rsidR="50E2F678">
        <w:rPr>
          <w:rFonts w:ascii="Aptos" w:hAnsi="Aptos" w:eastAsia="Aptos"/>
        </w:rPr>
        <w:t>., &amp;</w:t>
      </w:r>
      <w:r w:rsidRPr="72543F5F">
        <w:rPr>
          <w:rFonts w:ascii="Aptos" w:hAnsi="Aptos" w:eastAsia="Aptos"/>
        </w:rPr>
        <w:t xml:space="preserve"> Williams</w:t>
      </w:r>
      <w:r w:rsidRPr="50E2F678" w:rsidR="50E2F678">
        <w:rPr>
          <w:rFonts w:ascii="Aptos" w:hAnsi="Aptos" w:eastAsia="Aptos"/>
        </w:rPr>
        <w:t>, A. R. (2022).</w:t>
      </w:r>
      <w:r w:rsidRPr="72543F5F">
        <w:rPr>
          <w:rFonts w:ascii="Aptos" w:hAnsi="Aptos" w:eastAsia="Aptos"/>
        </w:rPr>
        <w:t xml:space="preserve"> How </w:t>
      </w:r>
      <w:r w:rsidRPr="50E2F678" w:rsidR="50E2F678">
        <w:rPr>
          <w:rFonts w:ascii="Aptos" w:hAnsi="Aptos" w:eastAsia="Aptos"/>
        </w:rPr>
        <w:t xml:space="preserve">physician workforce shortages are hampering the response to the opioid crisis. </w:t>
      </w:r>
      <w:r w:rsidRPr="50E2F678" w:rsidR="50E2F678">
        <w:rPr>
          <w:rFonts w:ascii="Aptos" w:hAnsi="Aptos" w:eastAsia="Aptos"/>
          <w:i/>
          <w:iCs/>
        </w:rPr>
        <w:t>Psychiatric Services, 73</w:t>
      </w:r>
      <w:r w:rsidRPr="50E2F678" w:rsidR="50E2F678">
        <w:rPr>
          <w:rFonts w:ascii="Aptos" w:hAnsi="Aptos" w:eastAsia="Aptos"/>
        </w:rPr>
        <w:t xml:space="preserve">(5), 547–554. </w:t>
      </w:r>
      <w:hyperlink r:id="rId6">
        <w:r w:rsidRPr="50E2F678" w:rsidR="50E2F678">
          <w:rPr>
            <w:rStyle w:val="Hyperlink"/>
            <w:rFonts w:ascii="Aptos" w:hAnsi="Aptos" w:eastAsia="Aptos"/>
          </w:rPr>
          <w:t>https://doi.org/10.1176/appi.ps.202000565</w:t>
        </w:r>
      </w:hyperlink>
    </w:p>
  </w:endnote>
  <w:endnote w:id="11">
    <w:p w:rsidR="72543F5F" w:rsidP="00DF38C4" w:rsidRDefault="72543F5F" w14:paraId="28689D9C" w14:textId="2DC55C44">
      <w:pPr>
        <w:pStyle w:val="EndnoteText"/>
        <w:rPr>
          <w:rFonts w:ascii="Aptos" w:hAnsi="Aptos" w:eastAsia="Aptos"/>
        </w:rPr>
      </w:pPr>
      <w:r w:rsidRPr="72543F5F">
        <w:rPr>
          <w:rStyle w:val="EndnoteReference"/>
        </w:rPr>
        <w:endnoteRef/>
      </w:r>
      <w:r w:rsidR="50E2F678">
        <w:t xml:space="preserve"> </w:t>
      </w:r>
      <w:r w:rsidRPr="50E2F678" w:rsidR="50E2F678">
        <w:rPr>
          <w:rFonts w:ascii="Aptos" w:hAnsi="Aptos" w:eastAsia="Aptos"/>
        </w:rPr>
        <w:t xml:space="preserve">Christine, P. J., Chahine, R. A., Kimmel, S. D., Lembke, A., Patrick, S. W., &amp; Alexander, G. C. (2024). Buprenorphine prescribing characteristics following relaxation of X-waiver training requirements. </w:t>
      </w:r>
      <w:r w:rsidRPr="50E2F678" w:rsidR="50E2F678">
        <w:rPr>
          <w:rFonts w:ascii="Aptos" w:hAnsi="Aptos" w:eastAsia="Aptos"/>
          <w:i/>
          <w:iCs/>
        </w:rPr>
        <w:t>JAMA Network Open, 7</w:t>
      </w:r>
      <w:r w:rsidRPr="50E2F678" w:rsidR="50E2F678">
        <w:rPr>
          <w:rFonts w:ascii="Aptos" w:hAnsi="Aptos" w:eastAsia="Aptos"/>
        </w:rPr>
        <w:t xml:space="preserve">(8), e2425999. </w:t>
      </w:r>
      <w:hyperlink w:history="1" r:id="rId7">
        <w:r w:rsidRPr="00DE330F" w:rsidR="00DF38C4">
          <w:rPr>
            <w:rStyle w:val="Hyperlink"/>
            <w:rFonts w:ascii="Aptos" w:hAnsi="Aptos" w:eastAsia="Aptos"/>
          </w:rPr>
          <w:t>https://doi.org/10.1001/jamanetworkopen.2024.25999</w:t>
        </w:r>
      </w:hyperlink>
      <w:r w:rsidR="00DF38C4">
        <w:rPr>
          <w:rFonts w:ascii="Aptos" w:hAnsi="Aptos" w:eastAsia="Aptos"/>
        </w:rPr>
        <w:t xml:space="preserve"> </w:t>
      </w:r>
    </w:p>
  </w:endnote>
  <w:endnote w:id="12">
    <w:p w:rsidR="00247FDE" w:rsidP="00DF38C4" w:rsidRDefault="00247FDE" w14:paraId="74F819D0" w14:textId="630FD40F">
      <w:pPr>
        <w:pStyle w:val="EndnoteText"/>
        <w:rPr>
          <w:rFonts w:ascii="Aptos" w:hAnsi="Aptos" w:eastAsia="Aptos"/>
        </w:rPr>
      </w:pPr>
      <w:r>
        <w:rPr>
          <w:rStyle w:val="EndnoteReference"/>
        </w:rPr>
        <w:endnoteRef/>
      </w:r>
      <w:r w:rsidR="50E2F678">
        <w:t xml:space="preserve"> </w:t>
      </w:r>
      <w:r w:rsidRPr="50E2F678" w:rsidR="50E2F678">
        <w:rPr>
          <w:rFonts w:ascii="Aptos" w:hAnsi="Aptos" w:eastAsia="Aptos"/>
        </w:rPr>
        <w:t xml:space="preserve">Stone, E. M., Xie, F., Miles, J., Samples, H., </w:t>
      </w:r>
      <w:proofErr w:type="spellStart"/>
      <w:r w:rsidRPr="50E2F678" w:rsidR="50E2F678">
        <w:rPr>
          <w:rFonts w:ascii="Aptos" w:hAnsi="Aptos" w:eastAsia="Aptos"/>
        </w:rPr>
        <w:t>Olfson</w:t>
      </w:r>
      <w:proofErr w:type="spellEnd"/>
      <w:r w:rsidRPr="50E2F678" w:rsidR="50E2F678">
        <w:rPr>
          <w:rFonts w:ascii="Aptos" w:hAnsi="Aptos" w:eastAsia="Aptos"/>
        </w:rPr>
        <w:t xml:space="preserve">, M., &amp; Crystal, S. (2025). Buprenorphine dispensation after X-waiver elimination by clinician specialty. </w:t>
      </w:r>
      <w:r w:rsidRPr="50E2F678" w:rsidR="50E2F678">
        <w:rPr>
          <w:rFonts w:ascii="Aptos" w:hAnsi="Aptos" w:eastAsia="Aptos"/>
          <w:i/>
          <w:iCs/>
        </w:rPr>
        <w:t>American Journal of Preventive Medicine, 69</w:t>
      </w:r>
      <w:r w:rsidRPr="50E2F678" w:rsidR="50E2F678">
        <w:rPr>
          <w:rFonts w:ascii="Aptos" w:hAnsi="Aptos" w:eastAsia="Aptos"/>
        </w:rPr>
        <w:t xml:space="preserve">(5), Article 108055. </w:t>
      </w:r>
      <w:hyperlink r:id="rId8">
        <w:r w:rsidRPr="50E2F678" w:rsidR="50E2F678">
          <w:rPr>
            <w:rStyle w:val="Hyperlink"/>
            <w:rFonts w:ascii="Aptos" w:hAnsi="Aptos" w:eastAsia="Aptos"/>
          </w:rPr>
          <w:t>https://doi.org/10.1016/j.amepre.2025.108055</w:t>
        </w:r>
      </w:hyperlink>
    </w:p>
  </w:endnote>
  <w:endnote w:id="13">
    <w:p w:rsidR="0080039C" w:rsidP="00DF38C4" w:rsidRDefault="0080039C" w14:paraId="751D8175" w14:textId="0B8FAD16">
      <w:pPr>
        <w:pStyle w:val="EndnoteText"/>
        <w:rPr>
          <w:rFonts w:ascii="Aptos" w:hAnsi="Aptos" w:eastAsia="Aptos"/>
        </w:rPr>
      </w:pPr>
      <w:r w:rsidRPr="72543F5F">
        <w:rPr>
          <w:rStyle w:val="EndnoteReference"/>
        </w:rPr>
        <w:endnoteRef/>
      </w:r>
      <w:r w:rsidR="50E2F678">
        <w:t xml:space="preserve"> </w:t>
      </w:r>
      <w:r w:rsidRPr="50E2F678" w:rsidR="50E2F678">
        <w:rPr>
          <w:rFonts w:ascii="Aptos" w:hAnsi="Aptos" w:eastAsia="Aptos"/>
        </w:rPr>
        <w:t xml:space="preserve">National Institute on Drug Abuse. (2020, June 1). </w:t>
      </w:r>
      <w:r w:rsidRPr="50E2F678" w:rsidR="50E2F678">
        <w:rPr>
          <w:rFonts w:ascii="Aptos" w:hAnsi="Aptos" w:eastAsia="Aptos"/>
          <w:i/>
          <w:iCs/>
        </w:rPr>
        <w:t>Criminal justice</w:t>
      </w:r>
      <w:r w:rsidRPr="50E2F678" w:rsidR="50E2F678">
        <w:rPr>
          <w:rFonts w:ascii="Aptos" w:hAnsi="Aptos" w:eastAsia="Aptos"/>
        </w:rPr>
        <w:t xml:space="preserve"> [</w:t>
      </w:r>
      <w:proofErr w:type="spellStart"/>
      <w:r w:rsidRPr="50E2F678" w:rsidR="50E2F678">
        <w:rPr>
          <w:rFonts w:ascii="Aptos" w:hAnsi="Aptos" w:eastAsia="Aptos"/>
        </w:rPr>
        <w:t>DrugFacts</w:t>
      </w:r>
      <w:proofErr w:type="spellEnd"/>
      <w:r w:rsidRPr="50E2F678" w:rsidR="50E2F678">
        <w:rPr>
          <w:rFonts w:ascii="Aptos" w:hAnsi="Aptos" w:eastAsia="Aptos"/>
        </w:rPr>
        <w:t xml:space="preserve">]. </w:t>
      </w:r>
      <w:hyperlink r:id="rId9">
        <w:r w:rsidRPr="50E2F678" w:rsidR="50E2F678">
          <w:rPr>
            <w:rStyle w:val="Hyperlink"/>
            <w:rFonts w:ascii="Aptos" w:hAnsi="Aptos" w:eastAsia="Aptos"/>
          </w:rPr>
          <w:t>https://nida.nih.gov/publications/drugfacts/criminal-justice</w:t>
        </w:r>
      </w:hyperlink>
    </w:p>
  </w:endnote>
  <w:endnote w:id="14">
    <w:p w:rsidR="009C6525" w:rsidP="00DF38C4" w:rsidRDefault="009C6525" w14:paraId="5EF241F7" w14:textId="77777777">
      <w:pPr>
        <w:pStyle w:val="EndnoteText"/>
        <w:rPr>
          <w:rFonts w:ascii="Aptos" w:hAnsi="Aptos" w:eastAsia="Aptos"/>
        </w:rPr>
      </w:pPr>
      <w:r w:rsidRPr="72543F5F">
        <w:rPr>
          <w:rStyle w:val="EndnoteReference"/>
        </w:rPr>
        <w:endnoteRef/>
      </w:r>
      <w:r>
        <w:t xml:space="preserve"> </w:t>
      </w:r>
      <w:r w:rsidRPr="72543F5F">
        <w:rPr>
          <w:rFonts w:ascii="Aptos" w:hAnsi="Aptos" w:eastAsia="Aptos"/>
        </w:rPr>
        <w:t xml:space="preserve">Duncan, A., Schiff, M., </w:t>
      </w:r>
      <w:proofErr w:type="spellStart"/>
      <w:r w:rsidRPr="72543F5F">
        <w:rPr>
          <w:rFonts w:ascii="Aptos" w:hAnsi="Aptos" w:eastAsia="Aptos"/>
        </w:rPr>
        <w:t>Wachino</w:t>
      </w:r>
      <w:proofErr w:type="spellEnd"/>
      <w:r w:rsidRPr="72543F5F">
        <w:rPr>
          <w:rFonts w:ascii="Aptos" w:hAnsi="Aptos" w:eastAsia="Aptos"/>
        </w:rPr>
        <w:t xml:space="preserve">, V., &amp; Teixeira da Silva, D. (2023, October 17). </w:t>
      </w:r>
      <w:r w:rsidRPr="50E2F678">
        <w:rPr>
          <w:rFonts w:ascii="Aptos" w:hAnsi="Aptos" w:eastAsia="Aptos"/>
        </w:rPr>
        <w:t>Medicaid coverage and service standards would boost quality of opioid use disorder care in state prisons and county jails</w:t>
      </w:r>
      <w:r w:rsidRPr="72543F5F">
        <w:rPr>
          <w:rFonts w:ascii="Aptos" w:hAnsi="Aptos" w:eastAsia="Aptos"/>
        </w:rPr>
        <w:t xml:space="preserve">. </w:t>
      </w:r>
      <w:r w:rsidRPr="72543F5F">
        <w:rPr>
          <w:rFonts w:ascii="Aptos" w:hAnsi="Aptos" w:eastAsia="Aptos"/>
          <w:i/>
          <w:iCs/>
        </w:rPr>
        <w:t>Milbank Memorial Fund</w:t>
      </w:r>
      <w:r w:rsidRPr="72543F5F">
        <w:rPr>
          <w:rFonts w:ascii="Aptos" w:hAnsi="Aptos" w:eastAsia="Aptos"/>
        </w:rPr>
        <w:t xml:space="preserve">. Retrieved from </w:t>
      </w:r>
      <w:hyperlink w:history="1" r:id="rId10">
        <w:r w:rsidRPr="72543F5F">
          <w:rPr>
            <w:rStyle w:val="Hyperlink"/>
            <w:rFonts w:ascii="Aptos" w:hAnsi="Aptos" w:eastAsia="Aptos"/>
          </w:rPr>
          <w:t>https://www.milbank.org/2023/10/medicaid-coverage-and-service-standards-would-boost-quality-of-oud-care-in-state-prisons-and-county-jails/</w:t>
        </w:r>
      </w:hyperlink>
    </w:p>
  </w:endnote>
  <w:endnote w:id="15">
    <w:p w:rsidR="000D1132" w:rsidP="00DF38C4" w:rsidRDefault="000D1132" w14:paraId="37B0197A" w14:textId="623ADBE8">
      <w:pPr>
        <w:pStyle w:val="EndnoteText"/>
      </w:pPr>
      <w:r>
        <w:rPr>
          <w:rStyle w:val="EndnoteReference"/>
        </w:rPr>
        <w:endnoteRef/>
      </w:r>
      <w:r>
        <w:t xml:space="preserve"> Duncan, A., </w:t>
      </w:r>
      <w:r w:rsidR="00B36B27">
        <w:t xml:space="preserve">Schiff, M., </w:t>
      </w:r>
      <w:proofErr w:type="spellStart"/>
      <w:r w:rsidR="00B36B27">
        <w:t>Wachino</w:t>
      </w:r>
      <w:proofErr w:type="spellEnd"/>
      <w:r w:rsidR="00B36B27">
        <w:t xml:space="preserve">, V., O’Brien, J. (2023, December 8). </w:t>
      </w:r>
      <w:r w:rsidRPr="00FF1AC2" w:rsidR="00FF1AC2">
        <w:t>Measuring the Performance and Quality of Opioid Addiction Treatment in Correctional Facilities</w:t>
      </w:r>
      <w:r w:rsidR="00FF1AC2">
        <w:t xml:space="preserve">. Milbank Memorial Fund. Retrieved from </w:t>
      </w:r>
      <w:hyperlink w:history="1" r:id="rId11">
        <w:r w:rsidRPr="00DE330F" w:rsidR="00B75277">
          <w:rPr>
            <w:rStyle w:val="Hyperlink"/>
          </w:rPr>
          <w:t>https://www.milbank.org/2023/12/measuring-the-performance-and-quality-of-opioid-addiction-treatment-in-correctional-facilities/</w:t>
        </w:r>
      </w:hyperlink>
      <w:r w:rsidR="00B75277">
        <w:t xml:space="preserve"> </w:t>
      </w:r>
    </w:p>
  </w:endnote>
  <w:endnote w:id="16">
    <w:p w:rsidR="006331D0" w:rsidP="00DF38C4" w:rsidRDefault="006331D0" w14:paraId="57A48196" w14:textId="77777777">
      <w:pPr>
        <w:pStyle w:val="EndnoteText"/>
        <w:rPr>
          <w:rStyle w:val="Hyperlink"/>
        </w:rPr>
      </w:pPr>
      <w:r w:rsidRPr="72543F5F">
        <w:rPr>
          <w:rStyle w:val="EndnoteReference"/>
        </w:rPr>
        <w:endnoteRef/>
      </w:r>
      <w:r>
        <w:t xml:space="preserve"> </w:t>
      </w:r>
      <w:r w:rsidRPr="72543F5F">
        <w:t xml:space="preserve">Centers for Medicare &amp; Medicaid Services. (2024, September 10). </w:t>
      </w:r>
      <w:r w:rsidRPr="72543F5F">
        <w:rPr>
          <w:i/>
          <w:iCs/>
        </w:rPr>
        <w:t xml:space="preserve">Office‑based substance </w:t>
      </w:r>
      <w:proofErr w:type="gramStart"/>
      <w:r w:rsidRPr="72543F5F">
        <w:rPr>
          <w:i/>
          <w:iCs/>
        </w:rPr>
        <w:t>use</w:t>
      </w:r>
      <w:proofErr w:type="gramEnd"/>
      <w:r w:rsidRPr="72543F5F">
        <w:rPr>
          <w:i/>
          <w:iCs/>
        </w:rPr>
        <w:t xml:space="preserve"> disorder (SUD) treatment billing</w:t>
      </w:r>
      <w:r w:rsidRPr="72543F5F">
        <w:t xml:space="preserve">. CMS. Retrieved September 9, 2025, from </w:t>
      </w:r>
      <w:hyperlink w:history="1" r:id="rId12">
        <w:r w:rsidRPr="72543F5F">
          <w:rPr>
            <w:rStyle w:val="Hyperlink"/>
          </w:rPr>
          <w:t>https://www.cms.gov/medicare/payment/opioid-treatment-programs-otp/billing-payment/office-based-substance-use-disorder-sud-treatment-billing</w:t>
        </w:r>
      </w:hyperlink>
    </w:p>
  </w:endnote>
  <w:endnote w:id="17">
    <w:p w:rsidRPr="00DF38C4" w:rsidR="005D2F0F" w:rsidP="00DF38C4" w:rsidRDefault="005D2F0F" w14:paraId="347FB38F" w14:textId="6B4633B1">
      <w:pPr>
        <w:pStyle w:val="EndnoteText"/>
        <w:rPr>
          <w:rFonts w:ascii="Aptos" w:hAnsi="Aptos" w:eastAsia="Aptos"/>
        </w:rPr>
      </w:pPr>
      <w:r w:rsidRPr="72543F5F">
        <w:rPr>
          <w:rStyle w:val="EndnoteReference"/>
        </w:rPr>
        <w:endnoteRef/>
      </w:r>
      <w:r>
        <w:t xml:space="preserve"> </w:t>
      </w:r>
      <w:r w:rsidRPr="50E2F678">
        <w:rPr>
          <w:rFonts w:ascii="Aptos" w:hAnsi="Aptos" w:eastAsia="Aptos"/>
        </w:rPr>
        <w:t>Mark</w:t>
      </w:r>
      <w:r w:rsidRPr="50E2F678" w:rsidR="50E2F678">
        <w:rPr>
          <w:rFonts w:ascii="Aptos" w:hAnsi="Aptos" w:eastAsia="Aptos"/>
        </w:rPr>
        <w:t xml:space="preserve">, T. L., Pittman, B., Dey, J., &amp; Ali, M. M. (2025, September). </w:t>
      </w:r>
      <w:r w:rsidRPr="50E2F678">
        <w:rPr>
          <w:rFonts w:ascii="Aptos" w:hAnsi="Aptos" w:eastAsia="Aptos"/>
        </w:rPr>
        <w:t xml:space="preserve">The </w:t>
      </w:r>
      <w:r w:rsidRPr="50E2F678" w:rsidR="50E2F678">
        <w:rPr>
          <w:rFonts w:ascii="Aptos" w:hAnsi="Aptos" w:eastAsia="Aptos"/>
        </w:rPr>
        <w:t>quality</w:t>
      </w:r>
      <w:r w:rsidRPr="50E2F678">
        <w:rPr>
          <w:rFonts w:ascii="Aptos" w:hAnsi="Aptos" w:eastAsia="Aptos"/>
        </w:rPr>
        <w:t xml:space="preserve"> of </w:t>
      </w:r>
      <w:r w:rsidRPr="50E2F678" w:rsidR="50E2F678">
        <w:rPr>
          <w:rFonts w:ascii="Aptos" w:hAnsi="Aptos" w:eastAsia="Aptos"/>
        </w:rPr>
        <w:t>opioid use disorder treatment</w:t>
      </w:r>
      <w:r w:rsidRPr="50E2F678">
        <w:rPr>
          <w:rFonts w:ascii="Aptos" w:hAnsi="Aptos" w:eastAsia="Aptos"/>
        </w:rPr>
        <w:t xml:space="preserve"> in Medicare is </w:t>
      </w:r>
      <w:r w:rsidRPr="50E2F678" w:rsidR="50E2F678">
        <w:rPr>
          <w:rFonts w:ascii="Aptos" w:hAnsi="Aptos" w:eastAsia="Aptos"/>
        </w:rPr>
        <w:t>low</w:t>
      </w:r>
      <w:r w:rsidRPr="50E2F678">
        <w:rPr>
          <w:rFonts w:ascii="Aptos" w:hAnsi="Aptos" w:eastAsia="Aptos"/>
        </w:rPr>
        <w:t xml:space="preserve"> and </w:t>
      </w:r>
      <w:proofErr w:type="gramStart"/>
      <w:r w:rsidRPr="50E2F678" w:rsidR="50E2F678">
        <w:rPr>
          <w:rFonts w:ascii="Aptos" w:hAnsi="Aptos" w:eastAsia="Aptos"/>
        </w:rPr>
        <w:t>lags behind</w:t>
      </w:r>
      <w:proofErr w:type="gramEnd"/>
      <w:r w:rsidRPr="50E2F678">
        <w:rPr>
          <w:rFonts w:ascii="Aptos" w:hAnsi="Aptos" w:eastAsia="Aptos"/>
        </w:rPr>
        <w:t xml:space="preserve"> Medicaid</w:t>
      </w:r>
      <w:r w:rsidRPr="50E2F678" w:rsidR="50E2F678">
        <w:rPr>
          <w:rFonts w:ascii="Aptos" w:hAnsi="Aptos" w:eastAsia="Aptos"/>
        </w:rPr>
        <w:t>.</w:t>
      </w:r>
      <w:r w:rsidRPr="50E2F678">
        <w:rPr>
          <w:rFonts w:ascii="Aptos" w:hAnsi="Aptos" w:eastAsia="Aptos"/>
        </w:rPr>
        <w:t xml:space="preserve"> </w:t>
      </w:r>
      <w:r w:rsidRPr="50E2F678">
        <w:rPr>
          <w:rFonts w:ascii="Aptos" w:hAnsi="Aptos" w:eastAsia="Aptos"/>
          <w:i/>
        </w:rPr>
        <w:t>Health Affairs</w:t>
      </w:r>
      <w:r w:rsidRPr="50E2F678" w:rsidR="50E2F678">
        <w:rPr>
          <w:rFonts w:ascii="Aptos" w:hAnsi="Aptos" w:eastAsia="Aptos"/>
        </w:rPr>
        <w:t xml:space="preserve">. Advance online publication. </w:t>
      </w:r>
      <w:hyperlink w:history="1" r:id="rId13">
        <w:r w:rsidRPr="00DE330F" w:rsidR="00DF38C4">
          <w:rPr>
            <w:rStyle w:val="Hyperlink"/>
            <w:rFonts w:ascii="Aptos" w:hAnsi="Aptos" w:eastAsia="Aptos"/>
          </w:rPr>
          <w:t>https://doi.org/10.1377/hlthaff.2025.16730</w:t>
        </w:r>
      </w:hyperlink>
      <w:r w:rsidR="00DF38C4">
        <w:rPr>
          <w:rFonts w:ascii="Aptos" w:hAnsi="Aptos" w:eastAsia="Aptos"/>
        </w:rPr>
        <w:t xml:space="preserve"> </w:t>
      </w:r>
    </w:p>
  </w:endnote>
  <w:endnote w:id="18">
    <w:p w:rsidRPr="00DF38C4" w:rsidR="00C9341D" w:rsidP="00DF38C4" w:rsidRDefault="00C9341D" w14:paraId="14A6C243" w14:textId="7ED8E07A">
      <w:pPr>
        <w:pStyle w:val="EndnoteText"/>
        <w:rPr>
          <w:rFonts w:ascii="Aptos" w:hAnsi="Aptos" w:eastAsia="Aptos"/>
        </w:rPr>
      </w:pPr>
      <w:r w:rsidRPr="72543F5F">
        <w:rPr>
          <w:rStyle w:val="EndnoteReference"/>
        </w:rPr>
        <w:endnoteRef/>
      </w:r>
      <w:r w:rsidR="50E2F678">
        <w:t xml:space="preserve"> </w:t>
      </w:r>
      <w:r w:rsidRPr="50E2F678" w:rsidR="50E2F678">
        <w:rPr>
          <w:rFonts w:ascii="Aptos" w:hAnsi="Aptos" w:eastAsia="Aptos"/>
        </w:rPr>
        <w:t xml:space="preserve">Centers for Disease Control and Prevention. (2024, December). </w:t>
      </w:r>
      <w:r w:rsidRPr="50E2F678" w:rsidR="50E2F678">
        <w:rPr>
          <w:rFonts w:ascii="Aptos" w:hAnsi="Aptos" w:eastAsia="Aptos"/>
          <w:i/>
          <w:iCs/>
        </w:rPr>
        <w:t>Drug overdose deaths in the United States, 2003–2023</w:t>
      </w:r>
      <w:r w:rsidRPr="50E2F678" w:rsidR="50E2F678">
        <w:rPr>
          <w:rFonts w:ascii="Aptos" w:hAnsi="Aptos" w:eastAsia="Aptos"/>
        </w:rPr>
        <w:t xml:space="preserve"> (Data Brief No. 522). National Center for Health Statistics. </w:t>
      </w:r>
      <w:hyperlink r:id="rId14">
        <w:r w:rsidRPr="50E2F678" w:rsidR="50E2F678">
          <w:rPr>
            <w:rStyle w:val="Hyperlink"/>
            <w:rFonts w:ascii="Aptos" w:hAnsi="Aptos" w:eastAsia="Aptos"/>
          </w:rPr>
          <w:t>https://www.cdc.gov/nchs/data/databriefs/db522.pdf</w:t>
        </w:r>
      </w:hyperlink>
    </w:p>
  </w:endnote>
  <w:endnote w:id="19">
    <w:p w:rsidR="72543F5F" w:rsidP="00DF38C4" w:rsidRDefault="72543F5F" w14:paraId="6E21CD77" w14:textId="64C7CA89">
      <w:pPr>
        <w:pStyle w:val="EndnoteText"/>
        <w:rPr>
          <w:rFonts w:ascii="Aptos" w:hAnsi="Aptos" w:eastAsia="Aptos"/>
        </w:rPr>
      </w:pPr>
      <w:r w:rsidRPr="72543F5F">
        <w:rPr>
          <w:rStyle w:val="EndnoteReference"/>
        </w:rPr>
        <w:endnoteRef/>
      </w:r>
      <w:r w:rsidR="50E2F678">
        <w:t xml:space="preserve"> </w:t>
      </w:r>
      <w:r w:rsidRPr="50E2F678" w:rsidR="50E2F678">
        <w:rPr>
          <w:rFonts w:ascii="Aptos" w:hAnsi="Aptos" w:eastAsia="Aptos"/>
        </w:rPr>
        <w:t xml:space="preserve">Substance Abuse and Mental Health Services Administration. (2023). </w:t>
      </w:r>
      <w:r w:rsidRPr="50E2F678" w:rsidR="50E2F678">
        <w:rPr>
          <w:rFonts w:ascii="Aptos" w:hAnsi="Aptos" w:eastAsia="Aptos"/>
          <w:i/>
          <w:iCs/>
        </w:rPr>
        <w:t>Overdose prevention toolkit</w:t>
      </w:r>
      <w:r w:rsidRPr="50E2F678" w:rsidR="50E2F678">
        <w:rPr>
          <w:rFonts w:ascii="Aptos" w:hAnsi="Aptos" w:eastAsia="Aptos"/>
        </w:rPr>
        <w:t>. https://www.samhsa.gov/resource/overdose-prevention-toolkit</w:t>
      </w:r>
    </w:p>
  </w:endnote>
  <w:endnote w:id="20">
    <w:p w:rsidR="00F23B45" w:rsidP="00DF38C4" w:rsidRDefault="00F23B45" w14:paraId="30FFB26F" w14:textId="77777777">
      <w:pPr>
        <w:pStyle w:val="EndnoteText"/>
        <w:rPr>
          <w:rFonts w:ascii="Aptos" w:hAnsi="Aptos" w:eastAsia="Aptos"/>
        </w:rPr>
      </w:pPr>
      <w:r w:rsidRPr="72543F5F">
        <w:rPr>
          <w:rStyle w:val="EndnoteReference"/>
        </w:rPr>
        <w:endnoteRef/>
      </w:r>
      <w:r>
        <w:t xml:space="preserve"> </w:t>
      </w:r>
      <w:r w:rsidRPr="50E2F678">
        <w:rPr>
          <w:rFonts w:ascii="Aptos" w:hAnsi="Aptos" w:eastAsia="Aptos"/>
        </w:rPr>
        <w:t>Kung, S.</w:t>
      </w:r>
      <w:r w:rsidRPr="72543F5F">
        <w:rPr>
          <w:rFonts w:ascii="Aptos" w:hAnsi="Aptos" w:eastAsia="Aptos"/>
        </w:rPr>
        <w:t xml:space="preserve"> (2025, May 13). </w:t>
      </w:r>
      <w:r w:rsidRPr="72543F5F">
        <w:rPr>
          <w:rFonts w:ascii="Aptos" w:hAnsi="Aptos" w:eastAsia="Aptos"/>
          <w:i/>
          <w:iCs/>
        </w:rPr>
        <w:t>Mental health: Overcoming the stigma of mental illness</w:t>
      </w:r>
      <w:r w:rsidRPr="72543F5F">
        <w:rPr>
          <w:rFonts w:ascii="Aptos" w:hAnsi="Aptos" w:eastAsia="Aptos"/>
        </w:rPr>
        <w:t>. Mayo Clinic.</w:t>
      </w:r>
    </w:p>
  </w:endnote>
  <w:endnote w:id="21">
    <w:p w:rsidR="00040F73" w:rsidP="00DF38C4" w:rsidRDefault="00040F73" w14:paraId="76F9EBE9" w14:textId="23D274E2">
      <w:pPr>
        <w:pStyle w:val="EndnoteText"/>
        <w:rPr>
          <w:rFonts w:ascii="Aptos" w:hAnsi="Aptos" w:eastAsia="Aptos"/>
        </w:rPr>
      </w:pPr>
      <w:r w:rsidRPr="72543F5F">
        <w:rPr>
          <w:rStyle w:val="EndnoteReference"/>
        </w:rPr>
        <w:endnoteRef/>
      </w:r>
      <w:r>
        <w:t xml:space="preserve"> </w:t>
      </w:r>
      <w:r w:rsidRPr="72543F5F">
        <w:rPr>
          <w:rFonts w:ascii="Aptos" w:hAnsi="Aptos" w:eastAsia="Aptos"/>
        </w:rPr>
        <w:t>Fortuna</w:t>
      </w:r>
      <w:r w:rsidRPr="50E2F678" w:rsidR="50E2F678">
        <w:rPr>
          <w:rFonts w:ascii="Aptos" w:hAnsi="Aptos" w:eastAsia="Aptos"/>
        </w:rPr>
        <w:t>, K. L.,</w:t>
      </w:r>
      <w:r w:rsidRPr="72543F5F">
        <w:rPr>
          <w:rFonts w:ascii="Aptos" w:hAnsi="Aptos" w:eastAsia="Aptos"/>
        </w:rPr>
        <w:t xml:space="preserve"> Solomon</w:t>
      </w:r>
      <w:r w:rsidRPr="50E2F678" w:rsidR="50E2F678">
        <w:rPr>
          <w:rFonts w:ascii="Aptos" w:hAnsi="Aptos" w:eastAsia="Aptos"/>
        </w:rPr>
        <w:t>,</w:t>
      </w:r>
      <w:r w:rsidRPr="72543F5F">
        <w:rPr>
          <w:rFonts w:ascii="Aptos" w:hAnsi="Aptos" w:eastAsia="Aptos"/>
        </w:rPr>
        <w:t xml:space="preserve"> P</w:t>
      </w:r>
      <w:r w:rsidRPr="50E2F678" w:rsidR="50E2F678">
        <w:rPr>
          <w:rFonts w:ascii="Aptos" w:hAnsi="Aptos" w:eastAsia="Aptos"/>
        </w:rPr>
        <w:t>., &amp;</w:t>
      </w:r>
      <w:r w:rsidRPr="72543F5F">
        <w:rPr>
          <w:rFonts w:ascii="Aptos" w:hAnsi="Aptos" w:eastAsia="Aptos"/>
        </w:rPr>
        <w:t xml:space="preserve"> Rivera</w:t>
      </w:r>
      <w:r w:rsidRPr="50E2F678" w:rsidR="50E2F678">
        <w:rPr>
          <w:rFonts w:ascii="Aptos" w:hAnsi="Aptos" w:eastAsia="Aptos"/>
        </w:rPr>
        <w:t>,</w:t>
      </w:r>
      <w:r w:rsidRPr="72543F5F">
        <w:rPr>
          <w:rFonts w:ascii="Aptos" w:hAnsi="Aptos" w:eastAsia="Aptos"/>
        </w:rPr>
        <w:t xml:space="preserve"> J. </w:t>
      </w:r>
      <w:r w:rsidRPr="50E2F678" w:rsidR="50E2F678">
        <w:rPr>
          <w:rFonts w:ascii="Aptos" w:hAnsi="Aptos" w:eastAsia="Aptos"/>
        </w:rPr>
        <w:t xml:space="preserve">(2022). An update of peer support/peer provided services: Underlying processes, benefits, and critical ingredients. </w:t>
      </w:r>
      <w:r w:rsidRPr="50E2F678" w:rsidR="50E2F678">
        <w:rPr>
          <w:rFonts w:ascii="Aptos" w:hAnsi="Aptos" w:eastAsia="Aptos"/>
          <w:i/>
          <w:iCs/>
        </w:rPr>
        <w:t>Psychiatric Quarterly, 93</w:t>
      </w:r>
      <w:r w:rsidRPr="50E2F678" w:rsidR="50E2F678">
        <w:rPr>
          <w:rFonts w:ascii="Aptos" w:hAnsi="Aptos" w:eastAsia="Aptos"/>
        </w:rPr>
        <w:t xml:space="preserve">(2), 571–586. </w:t>
      </w:r>
      <w:hyperlink w:history="1" r:id="rId15">
        <w:r w:rsidRPr="00DE330F" w:rsidR="00DF38C4">
          <w:rPr>
            <w:rStyle w:val="Hyperlink"/>
            <w:rFonts w:ascii="Aptos" w:hAnsi="Aptos" w:eastAsia="Aptos"/>
          </w:rPr>
          <w:t>https://doi.org/10.1007/s11126-022-09971-w</w:t>
        </w:r>
      </w:hyperlink>
      <w:r w:rsidR="00DF38C4">
        <w:rPr>
          <w:rFonts w:ascii="Aptos" w:hAnsi="Aptos" w:eastAsia="Aptos"/>
        </w:rPr>
        <w:t xml:space="preserve"> </w:t>
      </w:r>
    </w:p>
  </w:endnote>
  <w:endnote w:id="22">
    <w:p w:rsidR="00A145FA" w:rsidP="00DF38C4" w:rsidRDefault="00A145FA" w14:paraId="4681573F" w14:textId="374D03B9">
      <w:pPr>
        <w:pStyle w:val="EndnoteText"/>
        <w:rPr>
          <w:rFonts w:ascii="Aptos" w:hAnsi="Aptos" w:eastAsia="Aptos"/>
        </w:rPr>
      </w:pPr>
      <w:r w:rsidRPr="72543F5F">
        <w:rPr>
          <w:rStyle w:val="EndnoteReference"/>
        </w:rPr>
        <w:endnoteRef/>
      </w:r>
      <w:r>
        <w:t xml:space="preserve"> </w:t>
      </w:r>
      <w:r w:rsidRPr="72543F5F">
        <w:rPr>
          <w:rFonts w:ascii="Aptos" w:hAnsi="Aptos" w:eastAsia="Aptos"/>
        </w:rPr>
        <w:t>Yan</w:t>
      </w:r>
      <w:r w:rsidRPr="50E2F678" w:rsidR="50E2F678">
        <w:rPr>
          <w:rFonts w:ascii="Aptos" w:hAnsi="Aptos" w:eastAsia="Aptos"/>
        </w:rPr>
        <w:t>, A. F.,</w:t>
      </w:r>
      <w:r w:rsidRPr="72543F5F">
        <w:rPr>
          <w:rFonts w:ascii="Aptos" w:hAnsi="Aptos" w:eastAsia="Aptos"/>
        </w:rPr>
        <w:t xml:space="preserve"> Chen</w:t>
      </w:r>
      <w:r w:rsidRPr="50E2F678" w:rsidR="50E2F678">
        <w:rPr>
          <w:rFonts w:ascii="Aptos" w:hAnsi="Aptos" w:eastAsia="Aptos"/>
        </w:rPr>
        <w:t>,</w:t>
      </w:r>
      <w:r w:rsidRPr="72543F5F">
        <w:rPr>
          <w:rFonts w:ascii="Aptos" w:hAnsi="Aptos" w:eastAsia="Aptos"/>
        </w:rPr>
        <w:t xml:space="preserve"> Z</w:t>
      </w:r>
      <w:r w:rsidRPr="50E2F678" w:rsidR="50E2F678">
        <w:rPr>
          <w:rFonts w:ascii="Aptos" w:hAnsi="Aptos" w:eastAsia="Aptos"/>
        </w:rPr>
        <w:t>.,</w:t>
      </w:r>
      <w:r w:rsidRPr="72543F5F">
        <w:rPr>
          <w:rFonts w:ascii="Aptos" w:hAnsi="Aptos" w:eastAsia="Aptos"/>
        </w:rPr>
        <w:t xml:space="preserve"> Wang</w:t>
      </w:r>
      <w:r w:rsidRPr="50E2F678" w:rsidR="50E2F678">
        <w:rPr>
          <w:rFonts w:ascii="Aptos" w:hAnsi="Aptos" w:eastAsia="Aptos"/>
        </w:rPr>
        <w:t>,</w:t>
      </w:r>
      <w:r w:rsidRPr="72543F5F">
        <w:rPr>
          <w:rFonts w:ascii="Aptos" w:hAnsi="Aptos" w:eastAsia="Aptos"/>
        </w:rPr>
        <w:t xml:space="preserve"> Y</w:t>
      </w:r>
      <w:r w:rsidRPr="50E2F678" w:rsidR="50E2F678">
        <w:rPr>
          <w:rFonts w:ascii="Aptos" w:hAnsi="Aptos" w:eastAsia="Aptos"/>
        </w:rPr>
        <w:t>.,</w:t>
      </w:r>
      <w:r w:rsidRPr="72543F5F">
        <w:rPr>
          <w:rFonts w:ascii="Aptos" w:hAnsi="Aptos" w:eastAsia="Aptos"/>
        </w:rPr>
        <w:t xml:space="preserve"> Campbell</w:t>
      </w:r>
      <w:r w:rsidRPr="50E2F678" w:rsidR="50E2F678">
        <w:rPr>
          <w:rFonts w:ascii="Aptos" w:hAnsi="Aptos" w:eastAsia="Aptos"/>
        </w:rPr>
        <w:t>, J. A.,</w:t>
      </w:r>
      <w:r w:rsidRPr="72543F5F">
        <w:rPr>
          <w:rFonts w:ascii="Aptos" w:hAnsi="Aptos" w:eastAsia="Aptos"/>
        </w:rPr>
        <w:t xml:space="preserve"> Xue</w:t>
      </w:r>
      <w:r w:rsidRPr="50E2F678" w:rsidR="50E2F678">
        <w:rPr>
          <w:rFonts w:ascii="Aptos" w:hAnsi="Aptos" w:eastAsia="Aptos"/>
        </w:rPr>
        <w:t>, Q. L.,</w:t>
      </w:r>
      <w:r w:rsidRPr="72543F5F">
        <w:rPr>
          <w:rFonts w:ascii="Aptos" w:hAnsi="Aptos" w:eastAsia="Aptos"/>
        </w:rPr>
        <w:t xml:space="preserve"> Williams</w:t>
      </w:r>
      <w:r w:rsidRPr="50E2F678" w:rsidR="50E2F678">
        <w:rPr>
          <w:rFonts w:ascii="Aptos" w:hAnsi="Aptos" w:eastAsia="Aptos"/>
        </w:rPr>
        <w:t>, M. Y.,</w:t>
      </w:r>
      <w:r w:rsidRPr="72543F5F">
        <w:rPr>
          <w:rFonts w:ascii="Aptos" w:hAnsi="Aptos" w:eastAsia="Aptos"/>
        </w:rPr>
        <w:t xml:space="preserve"> Weinhardt</w:t>
      </w:r>
      <w:r w:rsidRPr="50E2F678" w:rsidR="50E2F678">
        <w:rPr>
          <w:rFonts w:ascii="Aptos" w:hAnsi="Aptos" w:eastAsia="Aptos"/>
        </w:rPr>
        <w:t>, L. S., &amp;</w:t>
      </w:r>
      <w:r w:rsidRPr="72543F5F">
        <w:rPr>
          <w:rFonts w:ascii="Aptos" w:hAnsi="Aptos" w:eastAsia="Aptos"/>
        </w:rPr>
        <w:t xml:space="preserve"> Egede</w:t>
      </w:r>
      <w:r w:rsidRPr="50E2F678" w:rsidR="50E2F678">
        <w:rPr>
          <w:rFonts w:ascii="Aptos" w:hAnsi="Aptos" w:eastAsia="Aptos"/>
        </w:rPr>
        <w:t>, L. E. (2022).</w:t>
      </w:r>
      <w:r w:rsidRPr="72543F5F">
        <w:rPr>
          <w:rFonts w:ascii="Aptos" w:hAnsi="Aptos" w:eastAsia="Aptos"/>
        </w:rPr>
        <w:t xml:space="preserve"> Effectiveness of </w:t>
      </w:r>
      <w:r w:rsidRPr="50E2F678" w:rsidR="50E2F678">
        <w:rPr>
          <w:rFonts w:ascii="Aptos" w:hAnsi="Aptos" w:eastAsia="Aptos"/>
        </w:rPr>
        <w:t xml:space="preserve">social needs screening and interventions in clinical settings on utilization, cost, and clinical outcomes: A systematic review. </w:t>
      </w:r>
      <w:r w:rsidRPr="50E2F678" w:rsidR="50E2F678">
        <w:rPr>
          <w:rFonts w:ascii="Aptos" w:hAnsi="Aptos" w:eastAsia="Aptos"/>
          <w:i/>
          <w:iCs/>
        </w:rPr>
        <w:t>Health Equity, 6</w:t>
      </w:r>
      <w:r w:rsidRPr="50E2F678" w:rsidR="50E2F678">
        <w:rPr>
          <w:rFonts w:ascii="Aptos" w:hAnsi="Aptos" w:eastAsia="Aptos"/>
        </w:rPr>
        <w:t xml:space="preserve">(1), 454–475. </w:t>
      </w:r>
      <w:hyperlink w:history="1" r:id="rId16">
        <w:r w:rsidRPr="00DE330F" w:rsidR="00DF38C4">
          <w:rPr>
            <w:rStyle w:val="Hyperlink"/>
            <w:rFonts w:ascii="Aptos" w:hAnsi="Aptos" w:eastAsia="Aptos"/>
          </w:rPr>
          <w:t>https://doi.org/10.1089/heq.2022.0010</w:t>
        </w:r>
      </w:hyperlink>
      <w:r w:rsidR="00DF38C4">
        <w:rPr>
          <w:rFonts w:ascii="Aptos" w:hAnsi="Aptos" w:eastAsia="Apto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D15" w:rsidP="004B7B34" w:rsidRDefault="00C45D15" w14:paraId="298F797B" w14:textId="77777777">
      <w:pPr>
        <w:spacing w:after="0" w:line="240" w:lineRule="auto"/>
      </w:pPr>
      <w:r>
        <w:separator/>
      </w:r>
    </w:p>
  </w:footnote>
  <w:footnote w:type="continuationSeparator" w:id="0">
    <w:p w:rsidR="00C45D15" w:rsidP="004B7B34" w:rsidRDefault="00C45D15" w14:paraId="6D7702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7B34" w:rsidP="004B7B34" w:rsidRDefault="004B7B34" w14:paraId="394EA291" w14:textId="2AF4D319">
    <w:pPr>
      <w:pStyle w:val="Header"/>
      <w:jc w:val="center"/>
    </w:pPr>
    <w:r>
      <w:rPr>
        <w:noProof/>
      </w:rPr>
      <w:drawing>
        <wp:anchor distT="0" distB="0" distL="114300" distR="114300" simplePos="0" relativeHeight="251658240" behindDoc="0" locked="0" layoutInCell="1" allowOverlap="1" wp14:anchorId="3A61A036" wp14:editId="522A9DAA">
          <wp:simplePos x="0" y="0"/>
          <wp:positionH relativeFrom="column">
            <wp:posOffset>-425487</wp:posOffset>
          </wp:positionH>
          <wp:positionV relativeFrom="paragraph">
            <wp:posOffset>-321480</wp:posOffset>
          </wp:positionV>
          <wp:extent cx="6838484" cy="1040639"/>
          <wp:effectExtent l="0" t="0" r="0" b="1270"/>
          <wp:wrapSquare wrapText="bothSides"/>
          <wp:docPr id="5733633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6332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38484" cy="1040639"/>
                  </a:xfrm>
                  <a:prstGeom prst="rect">
                    <a:avLst/>
                  </a:prstGeom>
                </pic:spPr>
              </pic:pic>
            </a:graphicData>
          </a:graphic>
          <wp14:sizeRelH relativeFrom="page">
            <wp14:pctWidth>0</wp14:pctWidth>
          </wp14:sizeRelH>
          <wp14:sizeRelV relativeFrom="page">
            <wp14:pctHeight>0</wp14:pctHeight>
          </wp14:sizeRelV>
        </wp:anchor>
      </w:drawing>
    </w:r>
  </w:p>
  <w:p w:rsidR="004B7B34" w:rsidRDefault="004B7B34" w14:paraId="79969661"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37C"/>
    <w:multiLevelType w:val="hybridMultilevel"/>
    <w:tmpl w:val="D9307F06"/>
    <w:lvl w:ilvl="0" w:tplc="5FB62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721A1"/>
    <w:multiLevelType w:val="hybridMultilevel"/>
    <w:tmpl w:val="BDA858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E727001"/>
    <w:multiLevelType w:val="hybridMultilevel"/>
    <w:tmpl w:val="6BDC6DF8"/>
    <w:lvl w:ilvl="0" w:tplc="1EF05768">
      <w:start w:val="1"/>
      <w:numFmt w:val="bullet"/>
      <w:lvlText w:val=""/>
      <w:lvlJc w:val="left"/>
      <w:pPr>
        <w:ind w:left="720" w:hanging="360"/>
      </w:pPr>
      <w:rPr>
        <w:rFonts w:hint="default" w:ascii="Symbol" w:hAnsi="Symbol"/>
      </w:rPr>
    </w:lvl>
    <w:lvl w:ilvl="1" w:tplc="8744A60E">
      <w:start w:val="1"/>
      <w:numFmt w:val="bullet"/>
      <w:lvlText w:val="o"/>
      <w:lvlJc w:val="left"/>
      <w:pPr>
        <w:ind w:left="1440" w:hanging="360"/>
      </w:pPr>
      <w:rPr>
        <w:rFonts w:hint="default" w:ascii="Courier New" w:hAnsi="Courier New"/>
      </w:rPr>
    </w:lvl>
    <w:lvl w:ilvl="2" w:tplc="150020D2">
      <w:start w:val="1"/>
      <w:numFmt w:val="bullet"/>
      <w:lvlText w:val=""/>
      <w:lvlJc w:val="left"/>
      <w:pPr>
        <w:ind w:left="2160" w:hanging="360"/>
      </w:pPr>
      <w:rPr>
        <w:rFonts w:hint="default" w:ascii="Wingdings" w:hAnsi="Wingdings"/>
      </w:rPr>
    </w:lvl>
    <w:lvl w:ilvl="3" w:tplc="5EE86D0E">
      <w:start w:val="1"/>
      <w:numFmt w:val="bullet"/>
      <w:lvlText w:val=""/>
      <w:lvlJc w:val="left"/>
      <w:pPr>
        <w:ind w:left="2880" w:hanging="360"/>
      </w:pPr>
      <w:rPr>
        <w:rFonts w:hint="default" w:ascii="Symbol" w:hAnsi="Symbol"/>
      </w:rPr>
    </w:lvl>
    <w:lvl w:ilvl="4" w:tplc="35963AC0">
      <w:start w:val="1"/>
      <w:numFmt w:val="bullet"/>
      <w:lvlText w:val="o"/>
      <w:lvlJc w:val="left"/>
      <w:pPr>
        <w:ind w:left="3600" w:hanging="360"/>
      </w:pPr>
      <w:rPr>
        <w:rFonts w:hint="default" w:ascii="Courier New" w:hAnsi="Courier New"/>
      </w:rPr>
    </w:lvl>
    <w:lvl w:ilvl="5" w:tplc="66927D20">
      <w:start w:val="1"/>
      <w:numFmt w:val="bullet"/>
      <w:lvlText w:val=""/>
      <w:lvlJc w:val="left"/>
      <w:pPr>
        <w:ind w:left="4320" w:hanging="360"/>
      </w:pPr>
      <w:rPr>
        <w:rFonts w:hint="default" w:ascii="Wingdings" w:hAnsi="Wingdings"/>
      </w:rPr>
    </w:lvl>
    <w:lvl w:ilvl="6" w:tplc="99328EF0">
      <w:start w:val="1"/>
      <w:numFmt w:val="bullet"/>
      <w:lvlText w:val=""/>
      <w:lvlJc w:val="left"/>
      <w:pPr>
        <w:ind w:left="5040" w:hanging="360"/>
      </w:pPr>
      <w:rPr>
        <w:rFonts w:hint="default" w:ascii="Symbol" w:hAnsi="Symbol"/>
      </w:rPr>
    </w:lvl>
    <w:lvl w:ilvl="7" w:tplc="0C324D5E">
      <w:start w:val="1"/>
      <w:numFmt w:val="bullet"/>
      <w:lvlText w:val="o"/>
      <w:lvlJc w:val="left"/>
      <w:pPr>
        <w:ind w:left="5760" w:hanging="360"/>
      </w:pPr>
      <w:rPr>
        <w:rFonts w:hint="default" w:ascii="Courier New" w:hAnsi="Courier New"/>
      </w:rPr>
    </w:lvl>
    <w:lvl w:ilvl="8" w:tplc="9B8EFF78">
      <w:start w:val="1"/>
      <w:numFmt w:val="bullet"/>
      <w:lvlText w:val=""/>
      <w:lvlJc w:val="left"/>
      <w:pPr>
        <w:ind w:left="6480" w:hanging="360"/>
      </w:pPr>
      <w:rPr>
        <w:rFonts w:hint="default" w:ascii="Wingdings" w:hAnsi="Wingdings"/>
      </w:rPr>
    </w:lvl>
  </w:abstractNum>
  <w:abstractNum w:abstractNumId="3" w15:restartNumberingAfterBreak="0">
    <w:nsid w:val="592AC015"/>
    <w:multiLevelType w:val="hybridMultilevel"/>
    <w:tmpl w:val="9F5275E6"/>
    <w:lvl w:ilvl="0" w:tplc="9330213A">
      <w:start w:val="1"/>
      <w:numFmt w:val="bullet"/>
      <w:lvlText w:val=""/>
      <w:lvlJc w:val="left"/>
      <w:pPr>
        <w:ind w:left="720" w:hanging="360"/>
      </w:pPr>
      <w:rPr>
        <w:rFonts w:hint="default" w:ascii="Symbol" w:hAnsi="Symbol"/>
      </w:rPr>
    </w:lvl>
    <w:lvl w:ilvl="1" w:tplc="326CAF68">
      <w:start w:val="1"/>
      <w:numFmt w:val="bullet"/>
      <w:lvlText w:val="o"/>
      <w:lvlJc w:val="left"/>
      <w:pPr>
        <w:ind w:left="1440" w:hanging="360"/>
      </w:pPr>
      <w:rPr>
        <w:rFonts w:hint="default" w:ascii="Courier New" w:hAnsi="Courier New"/>
      </w:rPr>
    </w:lvl>
    <w:lvl w:ilvl="2" w:tplc="CDE8CBF2">
      <w:start w:val="1"/>
      <w:numFmt w:val="bullet"/>
      <w:lvlText w:val=""/>
      <w:lvlJc w:val="left"/>
      <w:pPr>
        <w:ind w:left="2160" w:hanging="360"/>
      </w:pPr>
      <w:rPr>
        <w:rFonts w:hint="default" w:ascii="Wingdings" w:hAnsi="Wingdings"/>
      </w:rPr>
    </w:lvl>
    <w:lvl w:ilvl="3" w:tplc="A294A5D4">
      <w:start w:val="1"/>
      <w:numFmt w:val="bullet"/>
      <w:lvlText w:val=""/>
      <w:lvlJc w:val="left"/>
      <w:pPr>
        <w:ind w:left="2880" w:hanging="360"/>
      </w:pPr>
      <w:rPr>
        <w:rFonts w:hint="default" w:ascii="Symbol" w:hAnsi="Symbol"/>
      </w:rPr>
    </w:lvl>
    <w:lvl w:ilvl="4" w:tplc="4C0CBC02">
      <w:start w:val="1"/>
      <w:numFmt w:val="bullet"/>
      <w:lvlText w:val="o"/>
      <w:lvlJc w:val="left"/>
      <w:pPr>
        <w:ind w:left="3600" w:hanging="360"/>
      </w:pPr>
      <w:rPr>
        <w:rFonts w:hint="default" w:ascii="Courier New" w:hAnsi="Courier New"/>
      </w:rPr>
    </w:lvl>
    <w:lvl w:ilvl="5" w:tplc="0E3EE130">
      <w:start w:val="1"/>
      <w:numFmt w:val="bullet"/>
      <w:lvlText w:val=""/>
      <w:lvlJc w:val="left"/>
      <w:pPr>
        <w:ind w:left="4320" w:hanging="360"/>
      </w:pPr>
      <w:rPr>
        <w:rFonts w:hint="default" w:ascii="Wingdings" w:hAnsi="Wingdings"/>
      </w:rPr>
    </w:lvl>
    <w:lvl w:ilvl="6" w:tplc="7D42CD50">
      <w:start w:val="1"/>
      <w:numFmt w:val="bullet"/>
      <w:lvlText w:val=""/>
      <w:lvlJc w:val="left"/>
      <w:pPr>
        <w:ind w:left="5040" w:hanging="360"/>
      </w:pPr>
      <w:rPr>
        <w:rFonts w:hint="default" w:ascii="Symbol" w:hAnsi="Symbol"/>
      </w:rPr>
    </w:lvl>
    <w:lvl w:ilvl="7" w:tplc="18B8BB80">
      <w:start w:val="1"/>
      <w:numFmt w:val="bullet"/>
      <w:lvlText w:val="o"/>
      <w:lvlJc w:val="left"/>
      <w:pPr>
        <w:ind w:left="5760" w:hanging="360"/>
      </w:pPr>
      <w:rPr>
        <w:rFonts w:hint="default" w:ascii="Courier New" w:hAnsi="Courier New"/>
      </w:rPr>
    </w:lvl>
    <w:lvl w:ilvl="8" w:tplc="B0DC655E">
      <w:start w:val="1"/>
      <w:numFmt w:val="bullet"/>
      <w:lvlText w:val=""/>
      <w:lvlJc w:val="left"/>
      <w:pPr>
        <w:ind w:left="6480" w:hanging="360"/>
      </w:pPr>
      <w:rPr>
        <w:rFonts w:hint="default" w:ascii="Wingdings" w:hAnsi="Wingdings"/>
      </w:rPr>
    </w:lvl>
  </w:abstractNum>
  <w:num w:numId="1" w16cid:durableId="553740592">
    <w:abstractNumId w:val="1"/>
  </w:num>
  <w:num w:numId="2" w16cid:durableId="1808889568">
    <w:abstractNumId w:val="0"/>
  </w:num>
  <w:num w:numId="3" w16cid:durableId="1973050426">
    <w:abstractNumId w:val="3"/>
  </w:num>
  <w:num w:numId="4" w16cid:durableId="1508406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34"/>
    <w:rsid w:val="00001F9A"/>
    <w:rsid w:val="00016427"/>
    <w:rsid w:val="000251D7"/>
    <w:rsid w:val="00040F73"/>
    <w:rsid w:val="00042C53"/>
    <w:rsid w:val="00063737"/>
    <w:rsid w:val="00074D21"/>
    <w:rsid w:val="000776DF"/>
    <w:rsid w:val="000A298D"/>
    <w:rsid w:val="000C1855"/>
    <w:rsid w:val="000D1132"/>
    <w:rsid w:val="000D2377"/>
    <w:rsid w:val="000F6C68"/>
    <w:rsid w:val="000F6D3C"/>
    <w:rsid w:val="00115C46"/>
    <w:rsid w:val="00115D4F"/>
    <w:rsid w:val="001266BF"/>
    <w:rsid w:val="00145B9A"/>
    <w:rsid w:val="001C062A"/>
    <w:rsid w:val="001C6074"/>
    <w:rsid w:val="001F0014"/>
    <w:rsid w:val="001F600B"/>
    <w:rsid w:val="00210FE4"/>
    <w:rsid w:val="00227AC2"/>
    <w:rsid w:val="0023248C"/>
    <w:rsid w:val="0024792E"/>
    <w:rsid w:val="00247FDE"/>
    <w:rsid w:val="00277C52"/>
    <w:rsid w:val="002852EF"/>
    <w:rsid w:val="00306411"/>
    <w:rsid w:val="00345324"/>
    <w:rsid w:val="00346E6C"/>
    <w:rsid w:val="00354367"/>
    <w:rsid w:val="00364323"/>
    <w:rsid w:val="0036692F"/>
    <w:rsid w:val="0038637B"/>
    <w:rsid w:val="0039026D"/>
    <w:rsid w:val="003A03C6"/>
    <w:rsid w:val="003A4CF2"/>
    <w:rsid w:val="003D6A56"/>
    <w:rsid w:val="003E549C"/>
    <w:rsid w:val="003E5A11"/>
    <w:rsid w:val="003E704C"/>
    <w:rsid w:val="0040386C"/>
    <w:rsid w:val="004039B8"/>
    <w:rsid w:val="00435494"/>
    <w:rsid w:val="004606F2"/>
    <w:rsid w:val="0046513A"/>
    <w:rsid w:val="00466AD1"/>
    <w:rsid w:val="00472BB5"/>
    <w:rsid w:val="004A15EE"/>
    <w:rsid w:val="004B01AA"/>
    <w:rsid w:val="004B7B34"/>
    <w:rsid w:val="004F5546"/>
    <w:rsid w:val="00500873"/>
    <w:rsid w:val="00526C20"/>
    <w:rsid w:val="0055026C"/>
    <w:rsid w:val="005602AA"/>
    <w:rsid w:val="005645C9"/>
    <w:rsid w:val="00564C49"/>
    <w:rsid w:val="00564FE3"/>
    <w:rsid w:val="005B60CA"/>
    <w:rsid w:val="005D0F60"/>
    <w:rsid w:val="005D2F0F"/>
    <w:rsid w:val="005F0905"/>
    <w:rsid w:val="006331D0"/>
    <w:rsid w:val="006336D8"/>
    <w:rsid w:val="0064145A"/>
    <w:rsid w:val="00666E15"/>
    <w:rsid w:val="006D483C"/>
    <w:rsid w:val="006E3CF5"/>
    <w:rsid w:val="00714183"/>
    <w:rsid w:val="00716A8C"/>
    <w:rsid w:val="00737891"/>
    <w:rsid w:val="00767FE7"/>
    <w:rsid w:val="00790222"/>
    <w:rsid w:val="007B0BF0"/>
    <w:rsid w:val="0080039C"/>
    <w:rsid w:val="00832413"/>
    <w:rsid w:val="00832FB0"/>
    <w:rsid w:val="00846E80"/>
    <w:rsid w:val="00854D42"/>
    <w:rsid w:val="0087432C"/>
    <w:rsid w:val="00886AD4"/>
    <w:rsid w:val="008C2DA6"/>
    <w:rsid w:val="008D2552"/>
    <w:rsid w:val="008E0E6B"/>
    <w:rsid w:val="008E7B3A"/>
    <w:rsid w:val="009000F1"/>
    <w:rsid w:val="00913EAF"/>
    <w:rsid w:val="0091473A"/>
    <w:rsid w:val="009375DE"/>
    <w:rsid w:val="00940C4D"/>
    <w:rsid w:val="00977191"/>
    <w:rsid w:val="009C6525"/>
    <w:rsid w:val="009F7271"/>
    <w:rsid w:val="00A145FA"/>
    <w:rsid w:val="00A24947"/>
    <w:rsid w:val="00A2598D"/>
    <w:rsid w:val="00A429D1"/>
    <w:rsid w:val="00A50DE8"/>
    <w:rsid w:val="00A657B4"/>
    <w:rsid w:val="00A713F3"/>
    <w:rsid w:val="00A775C2"/>
    <w:rsid w:val="00A844B2"/>
    <w:rsid w:val="00A92977"/>
    <w:rsid w:val="00AC2036"/>
    <w:rsid w:val="00AD7C3A"/>
    <w:rsid w:val="00AE78BB"/>
    <w:rsid w:val="00AF0BEE"/>
    <w:rsid w:val="00B05A0C"/>
    <w:rsid w:val="00B10001"/>
    <w:rsid w:val="00B115C9"/>
    <w:rsid w:val="00B20272"/>
    <w:rsid w:val="00B23CF3"/>
    <w:rsid w:val="00B308AB"/>
    <w:rsid w:val="00B36B27"/>
    <w:rsid w:val="00B49734"/>
    <w:rsid w:val="00B75277"/>
    <w:rsid w:val="00B91314"/>
    <w:rsid w:val="00BA728F"/>
    <w:rsid w:val="00BB7509"/>
    <w:rsid w:val="00BB7FF9"/>
    <w:rsid w:val="00BC176D"/>
    <w:rsid w:val="00BC5885"/>
    <w:rsid w:val="00BD7322"/>
    <w:rsid w:val="00C24D26"/>
    <w:rsid w:val="00C45D15"/>
    <w:rsid w:val="00C556F8"/>
    <w:rsid w:val="00C865A2"/>
    <w:rsid w:val="00C9341D"/>
    <w:rsid w:val="00CA1158"/>
    <w:rsid w:val="00CA3356"/>
    <w:rsid w:val="00CD022C"/>
    <w:rsid w:val="00CD72BB"/>
    <w:rsid w:val="00CE51DF"/>
    <w:rsid w:val="00CE75E1"/>
    <w:rsid w:val="00D103CE"/>
    <w:rsid w:val="00D116D1"/>
    <w:rsid w:val="00D20E13"/>
    <w:rsid w:val="00D4D669"/>
    <w:rsid w:val="00D70CFB"/>
    <w:rsid w:val="00D81B13"/>
    <w:rsid w:val="00DA6593"/>
    <w:rsid w:val="00DD5A45"/>
    <w:rsid w:val="00DD6140"/>
    <w:rsid w:val="00DE02B4"/>
    <w:rsid w:val="00DF37CB"/>
    <w:rsid w:val="00DF38C4"/>
    <w:rsid w:val="00DF4760"/>
    <w:rsid w:val="00E00F87"/>
    <w:rsid w:val="00E31D67"/>
    <w:rsid w:val="00E33F2C"/>
    <w:rsid w:val="00E3400A"/>
    <w:rsid w:val="00E43BF2"/>
    <w:rsid w:val="00E51186"/>
    <w:rsid w:val="00E620D6"/>
    <w:rsid w:val="00E64C5F"/>
    <w:rsid w:val="00E86FE4"/>
    <w:rsid w:val="00ED0619"/>
    <w:rsid w:val="00ED1044"/>
    <w:rsid w:val="00F05B94"/>
    <w:rsid w:val="00F23B45"/>
    <w:rsid w:val="00FB06E3"/>
    <w:rsid w:val="00FD1EFC"/>
    <w:rsid w:val="00FD380F"/>
    <w:rsid w:val="00FE4408"/>
    <w:rsid w:val="00FF0FF3"/>
    <w:rsid w:val="00FF1AC2"/>
    <w:rsid w:val="0106319B"/>
    <w:rsid w:val="012FB76F"/>
    <w:rsid w:val="02DC27B1"/>
    <w:rsid w:val="037AAF05"/>
    <w:rsid w:val="0387209F"/>
    <w:rsid w:val="03B6075E"/>
    <w:rsid w:val="03EE4D6C"/>
    <w:rsid w:val="0441D052"/>
    <w:rsid w:val="05584837"/>
    <w:rsid w:val="05826FB1"/>
    <w:rsid w:val="05D71CA5"/>
    <w:rsid w:val="062BDDF9"/>
    <w:rsid w:val="062C968B"/>
    <w:rsid w:val="0635EB97"/>
    <w:rsid w:val="07B69EBD"/>
    <w:rsid w:val="07D76488"/>
    <w:rsid w:val="08E2604F"/>
    <w:rsid w:val="09D11748"/>
    <w:rsid w:val="0AF28413"/>
    <w:rsid w:val="0B2F2493"/>
    <w:rsid w:val="0C0D417E"/>
    <w:rsid w:val="0C68A062"/>
    <w:rsid w:val="0D1423C1"/>
    <w:rsid w:val="0D2CAB29"/>
    <w:rsid w:val="0D9492DD"/>
    <w:rsid w:val="0DAC931E"/>
    <w:rsid w:val="0DF41B37"/>
    <w:rsid w:val="0ED4BBF9"/>
    <w:rsid w:val="108AEEBA"/>
    <w:rsid w:val="119988FA"/>
    <w:rsid w:val="11B3E1FD"/>
    <w:rsid w:val="125F762A"/>
    <w:rsid w:val="13A216A2"/>
    <w:rsid w:val="13C8B5FD"/>
    <w:rsid w:val="142AE050"/>
    <w:rsid w:val="1445E64F"/>
    <w:rsid w:val="147DBA3F"/>
    <w:rsid w:val="150011FF"/>
    <w:rsid w:val="15304EBA"/>
    <w:rsid w:val="16225247"/>
    <w:rsid w:val="16A372C3"/>
    <w:rsid w:val="17BE7CCC"/>
    <w:rsid w:val="17EDF446"/>
    <w:rsid w:val="1823DD8C"/>
    <w:rsid w:val="183A902D"/>
    <w:rsid w:val="18F0A4C6"/>
    <w:rsid w:val="18F4B3B7"/>
    <w:rsid w:val="19D38B2A"/>
    <w:rsid w:val="19D52319"/>
    <w:rsid w:val="1A468D1E"/>
    <w:rsid w:val="1A8A8477"/>
    <w:rsid w:val="1AE5023D"/>
    <w:rsid w:val="1AE7E2C3"/>
    <w:rsid w:val="1AF3FE51"/>
    <w:rsid w:val="1B467026"/>
    <w:rsid w:val="1B86C05C"/>
    <w:rsid w:val="1B88FF61"/>
    <w:rsid w:val="1C020318"/>
    <w:rsid w:val="1C7B72E5"/>
    <w:rsid w:val="1D3FDEBF"/>
    <w:rsid w:val="1E1DDBAE"/>
    <w:rsid w:val="1E944DE8"/>
    <w:rsid w:val="1F31B926"/>
    <w:rsid w:val="206F401F"/>
    <w:rsid w:val="20CCA304"/>
    <w:rsid w:val="20E81CB4"/>
    <w:rsid w:val="2103D27E"/>
    <w:rsid w:val="212BAAC0"/>
    <w:rsid w:val="21871F3C"/>
    <w:rsid w:val="219AD2C2"/>
    <w:rsid w:val="22210FB7"/>
    <w:rsid w:val="22325D1B"/>
    <w:rsid w:val="22989E37"/>
    <w:rsid w:val="2321CAA4"/>
    <w:rsid w:val="232C63E7"/>
    <w:rsid w:val="23B49C2D"/>
    <w:rsid w:val="24DE327F"/>
    <w:rsid w:val="2522E878"/>
    <w:rsid w:val="2578F92C"/>
    <w:rsid w:val="265CBA5B"/>
    <w:rsid w:val="270A4780"/>
    <w:rsid w:val="2872416A"/>
    <w:rsid w:val="28E482EE"/>
    <w:rsid w:val="298BC734"/>
    <w:rsid w:val="2997EA0E"/>
    <w:rsid w:val="29B66127"/>
    <w:rsid w:val="2A3AC6A4"/>
    <w:rsid w:val="2A7BF4EC"/>
    <w:rsid w:val="2AC13F99"/>
    <w:rsid w:val="2AEA14CC"/>
    <w:rsid w:val="2B731D8C"/>
    <w:rsid w:val="2B915FFF"/>
    <w:rsid w:val="2BB30F69"/>
    <w:rsid w:val="2CC4EF15"/>
    <w:rsid w:val="2DCD3BE4"/>
    <w:rsid w:val="2E3509B8"/>
    <w:rsid w:val="2EABEB85"/>
    <w:rsid w:val="2EDD2BA7"/>
    <w:rsid w:val="2EF71FDF"/>
    <w:rsid w:val="2F25F040"/>
    <w:rsid w:val="2FCB6010"/>
    <w:rsid w:val="300FF32A"/>
    <w:rsid w:val="30ED5169"/>
    <w:rsid w:val="30FD03D5"/>
    <w:rsid w:val="3116D608"/>
    <w:rsid w:val="31638CD0"/>
    <w:rsid w:val="32796B29"/>
    <w:rsid w:val="336B1304"/>
    <w:rsid w:val="3444CCF6"/>
    <w:rsid w:val="345EA0CA"/>
    <w:rsid w:val="346A4932"/>
    <w:rsid w:val="34DA5646"/>
    <w:rsid w:val="3512435B"/>
    <w:rsid w:val="35D3235B"/>
    <w:rsid w:val="3611FDB2"/>
    <w:rsid w:val="3635428F"/>
    <w:rsid w:val="367822A1"/>
    <w:rsid w:val="36DFF560"/>
    <w:rsid w:val="36E481BC"/>
    <w:rsid w:val="3711D3F0"/>
    <w:rsid w:val="3722A870"/>
    <w:rsid w:val="386B1BFF"/>
    <w:rsid w:val="3888D4B8"/>
    <w:rsid w:val="38F8C6E6"/>
    <w:rsid w:val="397F2771"/>
    <w:rsid w:val="39BB1DA9"/>
    <w:rsid w:val="39E8DD37"/>
    <w:rsid w:val="3B4C505F"/>
    <w:rsid w:val="3B6F46CC"/>
    <w:rsid w:val="3C0DE1D8"/>
    <w:rsid w:val="3DD88CF8"/>
    <w:rsid w:val="3E4A7997"/>
    <w:rsid w:val="3F74983D"/>
    <w:rsid w:val="404F068C"/>
    <w:rsid w:val="40B58416"/>
    <w:rsid w:val="40D49D1F"/>
    <w:rsid w:val="410026BB"/>
    <w:rsid w:val="410744B5"/>
    <w:rsid w:val="41E7AA8E"/>
    <w:rsid w:val="41F0CDBC"/>
    <w:rsid w:val="425F05EC"/>
    <w:rsid w:val="42659562"/>
    <w:rsid w:val="42881841"/>
    <w:rsid w:val="43D478B0"/>
    <w:rsid w:val="43FF9E65"/>
    <w:rsid w:val="44F310BE"/>
    <w:rsid w:val="4574D07E"/>
    <w:rsid w:val="45CB22F3"/>
    <w:rsid w:val="462EF29A"/>
    <w:rsid w:val="47F9A117"/>
    <w:rsid w:val="497AC5D8"/>
    <w:rsid w:val="4B942A45"/>
    <w:rsid w:val="4B9B717C"/>
    <w:rsid w:val="4C65996F"/>
    <w:rsid w:val="4C92342A"/>
    <w:rsid w:val="4CB7892F"/>
    <w:rsid w:val="4CFD469D"/>
    <w:rsid w:val="4D241DC0"/>
    <w:rsid w:val="4D6B5B51"/>
    <w:rsid w:val="4D84C012"/>
    <w:rsid w:val="4EECBF02"/>
    <w:rsid w:val="4F1B8242"/>
    <w:rsid w:val="4F4EED24"/>
    <w:rsid w:val="4F60ACF7"/>
    <w:rsid w:val="50A73FD0"/>
    <w:rsid w:val="50E2F678"/>
    <w:rsid w:val="50E3C206"/>
    <w:rsid w:val="50F84A84"/>
    <w:rsid w:val="5135C55F"/>
    <w:rsid w:val="51F0D7B7"/>
    <w:rsid w:val="52A5FEEE"/>
    <w:rsid w:val="53098AC3"/>
    <w:rsid w:val="53196066"/>
    <w:rsid w:val="53CD01EC"/>
    <w:rsid w:val="54FFE6DB"/>
    <w:rsid w:val="5505E5C3"/>
    <w:rsid w:val="55F19367"/>
    <w:rsid w:val="56D2B7E3"/>
    <w:rsid w:val="56E89326"/>
    <w:rsid w:val="5727A334"/>
    <w:rsid w:val="5747AE3E"/>
    <w:rsid w:val="581C8E31"/>
    <w:rsid w:val="5858D5C7"/>
    <w:rsid w:val="589E2615"/>
    <w:rsid w:val="591FF666"/>
    <w:rsid w:val="59648012"/>
    <w:rsid w:val="5998750F"/>
    <w:rsid w:val="59BD64F2"/>
    <w:rsid w:val="59C969CF"/>
    <w:rsid w:val="5A20E456"/>
    <w:rsid w:val="5A4A9C04"/>
    <w:rsid w:val="5A9EDED9"/>
    <w:rsid w:val="5BA3F27B"/>
    <w:rsid w:val="5C726988"/>
    <w:rsid w:val="5CA379F3"/>
    <w:rsid w:val="5CFA959D"/>
    <w:rsid w:val="5D8FC148"/>
    <w:rsid w:val="5ECD6F18"/>
    <w:rsid w:val="5EF95B51"/>
    <w:rsid w:val="5F4673DF"/>
    <w:rsid w:val="5FFA2FBF"/>
    <w:rsid w:val="60DB5EDD"/>
    <w:rsid w:val="60EF9972"/>
    <w:rsid w:val="61224D8D"/>
    <w:rsid w:val="61B7CF5D"/>
    <w:rsid w:val="61C78882"/>
    <w:rsid w:val="61FD7098"/>
    <w:rsid w:val="64266FE1"/>
    <w:rsid w:val="642D8F5A"/>
    <w:rsid w:val="643AA611"/>
    <w:rsid w:val="64D7C29C"/>
    <w:rsid w:val="65BAF75A"/>
    <w:rsid w:val="65FB8595"/>
    <w:rsid w:val="661B8A42"/>
    <w:rsid w:val="67D20F8F"/>
    <w:rsid w:val="69DF8CB6"/>
    <w:rsid w:val="6A5CF681"/>
    <w:rsid w:val="6B627E6F"/>
    <w:rsid w:val="6BBC3C1D"/>
    <w:rsid w:val="6DDF589F"/>
    <w:rsid w:val="6E21FDC9"/>
    <w:rsid w:val="6E991C59"/>
    <w:rsid w:val="702ADC95"/>
    <w:rsid w:val="702CC392"/>
    <w:rsid w:val="7090D0F3"/>
    <w:rsid w:val="71248614"/>
    <w:rsid w:val="71863A9D"/>
    <w:rsid w:val="7189D55D"/>
    <w:rsid w:val="72543F5F"/>
    <w:rsid w:val="726879AF"/>
    <w:rsid w:val="728B8EB7"/>
    <w:rsid w:val="738D09D8"/>
    <w:rsid w:val="73E5A762"/>
    <w:rsid w:val="740AFFE5"/>
    <w:rsid w:val="74A10357"/>
    <w:rsid w:val="7517EAEF"/>
    <w:rsid w:val="75C9230B"/>
    <w:rsid w:val="76AE4380"/>
    <w:rsid w:val="770FB75D"/>
    <w:rsid w:val="7729F288"/>
    <w:rsid w:val="77430A10"/>
    <w:rsid w:val="778C38BE"/>
    <w:rsid w:val="77C34C22"/>
    <w:rsid w:val="78D1BC23"/>
    <w:rsid w:val="790E4DE5"/>
    <w:rsid w:val="799E96F7"/>
    <w:rsid w:val="7A03CC1C"/>
    <w:rsid w:val="7A5EDF74"/>
    <w:rsid w:val="7AD2BCCD"/>
    <w:rsid w:val="7BAAE18D"/>
    <w:rsid w:val="7C03C875"/>
    <w:rsid w:val="7C0F8720"/>
    <w:rsid w:val="7C6ED592"/>
    <w:rsid w:val="7C7D027A"/>
    <w:rsid w:val="7CE69F4F"/>
    <w:rsid w:val="7D2704E3"/>
    <w:rsid w:val="7D569D7C"/>
    <w:rsid w:val="7DC1AE73"/>
    <w:rsid w:val="7DE8974D"/>
    <w:rsid w:val="7E8615AE"/>
    <w:rsid w:val="7F3818B8"/>
    <w:rsid w:val="7F8CFA9C"/>
    <w:rsid w:val="7F928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7C8B3"/>
  <w15:chartTrackingRefBased/>
  <w15:docId w15:val="{58A2748F-F29F-974A-974D-C61E947C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0DE8"/>
  </w:style>
  <w:style w:type="paragraph" w:styleId="Heading1">
    <w:name w:val="heading 1"/>
    <w:basedOn w:val="Normal"/>
    <w:next w:val="Normal"/>
    <w:link w:val="Heading1Char"/>
    <w:uiPriority w:val="9"/>
    <w:qFormat/>
    <w:rsid w:val="004B7B3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B3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B3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B7B3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B7B3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B7B3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B7B3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B7B3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B7B3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B7B3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B7B3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B7B34"/>
    <w:rPr>
      <w:rFonts w:eastAsiaTheme="majorEastAsia" w:cstheme="majorBidi"/>
      <w:color w:val="272727" w:themeColor="text1" w:themeTint="D8"/>
    </w:rPr>
  </w:style>
  <w:style w:type="paragraph" w:styleId="Title">
    <w:name w:val="Title"/>
    <w:basedOn w:val="Normal"/>
    <w:next w:val="Normal"/>
    <w:link w:val="TitleChar"/>
    <w:uiPriority w:val="10"/>
    <w:qFormat/>
    <w:rsid w:val="004B7B3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B7B3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B7B3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B7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B34"/>
    <w:pPr>
      <w:spacing w:before="160"/>
      <w:jc w:val="center"/>
    </w:pPr>
    <w:rPr>
      <w:i/>
      <w:iCs/>
      <w:color w:val="404040" w:themeColor="text1" w:themeTint="BF"/>
    </w:rPr>
  </w:style>
  <w:style w:type="character" w:styleId="QuoteChar" w:customStyle="1">
    <w:name w:val="Quote Char"/>
    <w:basedOn w:val="DefaultParagraphFont"/>
    <w:link w:val="Quote"/>
    <w:uiPriority w:val="29"/>
    <w:rsid w:val="004B7B34"/>
    <w:rPr>
      <w:i/>
      <w:iCs/>
      <w:color w:val="404040" w:themeColor="text1" w:themeTint="BF"/>
    </w:rPr>
  </w:style>
  <w:style w:type="paragraph" w:styleId="ListParagraph">
    <w:name w:val="List Paragraph"/>
    <w:basedOn w:val="Normal"/>
    <w:uiPriority w:val="34"/>
    <w:qFormat/>
    <w:rsid w:val="004B7B34"/>
    <w:pPr>
      <w:ind w:left="720"/>
      <w:contextualSpacing/>
    </w:pPr>
  </w:style>
  <w:style w:type="character" w:styleId="IntenseEmphasis">
    <w:name w:val="Intense Emphasis"/>
    <w:basedOn w:val="DefaultParagraphFont"/>
    <w:uiPriority w:val="21"/>
    <w:qFormat/>
    <w:rsid w:val="004B7B34"/>
    <w:rPr>
      <w:i/>
      <w:iCs/>
      <w:color w:val="0F4761" w:themeColor="accent1" w:themeShade="BF"/>
    </w:rPr>
  </w:style>
  <w:style w:type="paragraph" w:styleId="IntenseQuote">
    <w:name w:val="Intense Quote"/>
    <w:basedOn w:val="Normal"/>
    <w:next w:val="Normal"/>
    <w:link w:val="IntenseQuoteChar"/>
    <w:uiPriority w:val="30"/>
    <w:qFormat/>
    <w:rsid w:val="004B7B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B7B34"/>
    <w:rPr>
      <w:i/>
      <w:iCs/>
      <w:color w:val="0F4761" w:themeColor="accent1" w:themeShade="BF"/>
    </w:rPr>
  </w:style>
  <w:style w:type="character" w:styleId="IntenseReference">
    <w:name w:val="Intense Reference"/>
    <w:basedOn w:val="DefaultParagraphFont"/>
    <w:uiPriority w:val="32"/>
    <w:qFormat/>
    <w:rsid w:val="004B7B34"/>
    <w:rPr>
      <w:b/>
      <w:bCs/>
      <w:smallCaps/>
      <w:color w:val="0F4761" w:themeColor="accent1" w:themeShade="BF"/>
      <w:spacing w:val="5"/>
    </w:rPr>
  </w:style>
  <w:style w:type="paragraph" w:styleId="Header">
    <w:name w:val="header"/>
    <w:basedOn w:val="Normal"/>
    <w:link w:val="HeaderChar"/>
    <w:uiPriority w:val="99"/>
    <w:unhideWhenUsed/>
    <w:rsid w:val="004B7B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4B7B34"/>
  </w:style>
  <w:style w:type="paragraph" w:styleId="Footer">
    <w:name w:val="footer"/>
    <w:basedOn w:val="Normal"/>
    <w:link w:val="FooterChar"/>
    <w:uiPriority w:val="99"/>
    <w:unhideWhenUsed/>
    <w:rsid w:val="004B7B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4B7B34"/>
  </w:style>
  <w:style w:type="paragraph" w:styleId="p1" w:customStyle="1">
    <w:name w:val="p1"/>
    <w:basedOn w:val="Normal"/>
    <w:rsid w:val="00A50DE8"/>
    <w:pPr>
      <w:spacing w:after="0" w:line="240" w:lineRule="auto"/>
    </w:pPr>
    <w:rPr>
      <w:rFonts w:ascii="Helvetica" w:hAnsi="Helvetica" w:eastAsia="Times New Roman" w:cs="Times New Roman"/>
      <w:color w:val="000000"/>
      <w:kern w:val="0"/>
      <w:sz w:val="18"/>
      <w:szCs w:val="18"/>
      <w14:ligatures w14:val="none"/>
    </w:rPr>
  </w:style>
  <w:style w:type="character" w:styleId="s4" w:customStyle="1">
    <w:name w:val="s4"/>
    <w:basedOn w:val="DefaultParagraphFont"/>
    <w:rsid w:val="00A50DE8"/>
    <w:rPr>
      <w:rFonts w:hint="default" w:ascii="Helvetica" w:hAnsi="Helvetica"/>
      <w:sz w:val="17"/>
      <w:szCs w:val="17"/>
    </w:rPr>
  </w:style>
  <w:style w:type="character" w:styleId="Hyperlink">
    <w:name w:val="Hyperlink"/>
    <w:basedOn w:val="DefaultParagraphFont"/>
    <w:uiPriority w:val="99"/>
    <w:unhideWhenUsed/>
    <w:rsid w:val="00A50DE8"/>
    <w:rPr>
      <w:color w:val="467886"/>
      <w:u w:val="single"/>
    </w:rPr>
  </w:style>
  <w:style w:type="character" w:styleId="UnresolvedMention">
    <w:name w:val="Unresolved Mention"/>
    <w:basedOn w:val="DefaultParagraphFont"/>
    <w:uiPriority w:val="99"/>
    <w:semiHidden/>
    <w:unhideWhenUsed/>
    <w:rsid w:val="00C865A2"/>
    <w:rPr>
      <w:color w:val="605E5C"/>
      <w:shd w:val="clear" w:color="auto" w:fill="E1DFDD"/>
    </w:rPr>
  </w:style>
  <w:style w:type="paragraph" w:styleId="NormalWeb">
    <w:name w:val="Normal (Web)"/>
    <w:basedOn w:val="Normal"/>
    <w:uiPriority w:val="99"/>
    <w:semiHidden/>
    <w:unhideWhenUsed/>
    <w:rsid w:val="005D0F60"/>
    <w:rPr>
      <w:rFonts w:ascii="Times New Roman" w:hAnsi="Times New Roman" w:cs="Times New Roman"/>
    </w:rPr>
  </w:style>
  <w:style w:type="paragraph" w:styleId="FootnoteText">
    <w:name w:val="footnote text"/>
    <w:basedOn w:val="Normal"/>
    <w:uiPriority w:val="99"/>
    <w:semiHidden/>
    <w:unhideWhenUsed/>
    <w:rsid w:val="72543F5F"/>
    <w:pPr>
      <w:spacing w:after="0" w:line="240" w:lineRule="auto"/>
    </w:pPr>
    <w:rPr>
      <w:sz w:val="20"/>
      <w:szCs w:val="20"/>
    </w:rPr>
  </w:style>
  <w:style w:type="paragraph" w:styleId="EndnoteText">
    <w:name w:val="endnote text"/>
    <w:basedOn w:val="Normal"/>
    <w:uiPriority w:val="99"/>
    <w:unhideWhenUsed/>
    <w:rsid w:val="72543F5F"/>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E3C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gazda@advocacyincubator.org"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ederalregister.gov/documents/2025/07/16/2025-13271/medicare-and-medicaid-programs-cy-2026-payment-policies-under-the-physician-fee-schedule-and-other"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endnotes.xml.rels><?xml version="1.0" encoding="UTF-8" standalone="yes"?>
<Relationships xmlns="http://schemas.openxmlformats.org/package/2006/relationships"><Relationship Id="rId8" Type="http://schemas.openxmlformats.org/officeDocument/2006/relationships/hyperlink" Target="https://doi.org/10.1016/j.amepre.2025.108055" TargetMode="External"/><Relationship Id="rId13" Type="http://schemas.openxmlformats.org/officeDocument/2006/relationships/hyperlink" Target="https://doi.org/10.1377/hlthaff.2025.16730" TargetMode="External"/><Relationship Id="rId3" Type="http://schemas.openxmlformats.org/officeDocument/2006/relationships/hyperlink" Target="https://oig.hhs.gov/documents/evaluation/10253/OEI-02-24-00430.pdf" TargetMode="External"/><Relationship Id="rId7" Type="http://schemas.openxmlformats.org/officeDocument/2006/relationships/hyperlink" Target="https://doi.org/10.1001/jamanetworkopen.2024.25999" TargetMode="External"/><Relationship Id="rId12" Type="http://schemas.openxmlformats.org/officeDocument/2006/relationships/hyperlink" Target="https://www.cms.gov/medicare/payment/opioid-treatment-programs-otp/billing-payment/office-based-substance-use-disorder-sud-treatment-billing?utm_source=chatgpt.com" TargetMode="External"/><Relationship Id="rId2" Type="http://schemas.openxmlformats.org/officeDocument/2006/relationships/hyperlink" Target="https://www.federalregister.gov/d/2024-26301" TargetMode="External"/><Relationship Id="rId16" Type="http://schemas.openxmlformats.org/officeDocument/2006/relationships/hyperlink" Target="https://doi.org/10.1089/heq.2022.0010" TargetMode="External"/><Relationship Id="rId1" Type="http://schemas.openxmlformats.org/officeDocument/2006/relationships/hyperlink" Target="https://www.cdc.gov/nchs/data/databriefs/db522.pdf" TargetMode="External"/><Relationship Id="rId6" Type="http://schemas.openxmlformats.org/officeDocument/2006/relationships/hyperlink" Target="https://doi.org/10.1176/appi.ps.202000565" TargetMode="External"/><Relationship Id="rId11" Type="http://schemas.openxmlformats.org/officeDocument/2006/relationships/hyperlink" Target="https://www.milbank.org/2023/12/measuring-the-performance-and-quality-of-opioid-addiction-treatment-in-correctional-facilities/" TargetMode="External"/><Relationship Id="rId5" Type="http://schemas.openxmlformats.org/officeDocument/2006/relationships/hyperlink" Target="https://bjs.ojp.gov/content/pub/pdf/mlj0018st.pdf" TargetMode="External"/><Relationship Id="rId15" Type="http://schemas.openxmlformats.org/officeDocument/2006/relationships/hyperlink" Target="https://doi.org/10.1007/s11126-022-09971-w" TargetMode="External"/><Relationship Id="rId10" Type="http://schemas.openxmlformats.org/officeDocument/2006/relationships/hyperlink" Target="https://www.milbank.org/2023/10/medicaid-coverage-and-service-standards-would-boost-quality-of-oud-care-in-state-prisons-and-county-jails/?utm_source=chatgpt.com" TargetMode="External"/><Relationship Id="rId4" Type="http://schemas.openxmlformats.org/officeDocument/2006/relationships/hyperlink" Target="https://www.samhsa.gov/sites/default/files/programs_campaigns/brss_tacs/peer-support-2017.pdf?utm_source=chatgpt.com" TargetMode="External"/><Relationship Id="rId9" Type="http://schemas.openxmlformats.org/officeDocument/2006/relationships/hyperlink" Target="https://nida.nih.gov/publications/drugfacts/criminal-justice" TargetMode="External"/><Relationship Id="rId14" Type="http://schemas.openxmlformats.org/officeDocument/2006/relationships/hyperlink" Target="https://www.cdc.gov/nchs/data/databriefs/db5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d069f8-6a94-43d0-9d13-6f6a2a59c9d0" xsi:nil="true"/>
    <lcf76f155ced4ddcb4097134ff3c332f xmlns="62571e88-b080-49cd-b848-554f49dedf1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97EAAAB743B64F87E1B3CE1AC15D7B" ma:contentTypeVersion="15" ma:contentTypeDescription="Create a new document." ma:contentTypeScope="" ma:versionID="d6314bb6120311f02f6a31ceca3130f9">
  <xsd:schema xmlns:xsd="http://www.w3.org/2001/XMLSchema" xmlns:xs="http://www.w3.org/2001/XMLSchema" xmlns:p="http://schemas.microsoft.com/office/2006/metadata/properties" xmlns:ns2="62571e88-b080-49cd-b848-554f49dedf1d" xmlns:ns3="ccd069f8-6a94-43d0-9d13-6f6a2a59c9d0" targetNamespace="http://schemas.microsoft.com/office/2006/metadata/properties" ma:root="true" ma:fieldsID="878d5e0e0cda287af36d1f8e4169120d" ns2:_="" ns3:_="">
    <xsd:import namespace="62571e88-b080-49cd-b848-554f49dedf1d"/>
    <xsd:import namespace="ccd069f8-6a94-43d0-9d13-6f6a2a59c9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71e88-b080-49cd-b848-554f49ded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eb34dc-4221-47f4-9d7a-a052f63cee80"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069f8-6a94-43d0-9d13-6f6a2a59c9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d34d46-a5f2-4a02-b117-cebcd2d55673}" ma:internalName="TaxCatchAll" ma:showField="CatchAllData" ma:web="ccd069f8-6a94-43d0-9d13-6f6a2a59c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C917E-6A2D-4B0F-9C57-540FEB0F8068}">
  <ds:schemaRefs>
    <ds:schemaRef ds:uri="http://schemas.microsoft.com/sharepoint/v3/contenttype/forms"/>
  </ds:schemaRefs>
</ds:datastoreItem>
</file>

<file path=customXml/itemProps2.xml><?xml version="1.0" encoding="utf-8"?>
<ds:datastoreItem xmlns:ds="http://schemas.openxmlformats.org/officeDocument/2006/customXml" ds:itemID="{DF79505E-AC32-471D-9B22-D2FEBB3BFF99}">
  <ds:schemaRefs>
    <ds:schemaRef ds:uri="http://schemas.microsoft.com/office/2006/metadata/properties"/>
    <ds:schemaRef ds:uri="http://schemas.microsoft.com/office/infopath/2007/PartnerControls"/>
    <ds:schemaRef ds:uri="ccd069f8-6a94-43d0-9d13-6f6a2a59c9d0"/>
    <ds:schemaRef ds:uri="62571e88-b080-49cd-b848-554f49dedf1d"/>
  </ds:schemaRefs>
</ds:datastoreItem>
</file>

<file path=customXml/itemProps3.xml><?xml version="1.0" encoding="utf-8"?>
<ds:datastoreItem xmlns:ds="http://schemas.openxmlformats.org/officeDocument/2006/customXml" ds:itemID="{76B79763-4F16-804B-981A-CA1E23ECE3DE}">
  <ds:schemaRefs>
    <ds:schemaRef ds:uri="http://schemas.openxmlformats.org/officeDocument/2006/bibliography"/>
  </ds:schemaRefs>
</ds:datastoreItem>
</file>

<file path=customXml/itemProps4.xml><?xml version="1.0" encoding="utf-8"?>
<ds:datastoreItem xmlns:ds="http://schemas.openxmlformats.org/officeDocument/2006/customXml" ds:itemID="{281966D5-D88C-4784-B977-F2605E12C7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Gazda</dc:creator>
  <cp:keywords/>
  <dc:description/>
  <cp:lastModifiedBy>Michele Gazda</cp:lastModifiedBy>
  <cp:revision>159</cp:revision>
  <dcterms:created xsi:type="dcterms:W3CDTF">2025-09-04T17:38:00Z</dcterms:created>
  <dcterms:modified xsi:type="dcterms:W3CDTF">2025-09-11T20:42:45Z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0x010100E997EAAAB743B64F87E1B3CE1AC15D7B</vt:lpwstr>
  </property>
  <property fmtid="{D5CDD505-2E9C-101B-9397-08002B2CF9AE}" pid="3" name="MediaServiceImageTags">
    <vt:lpwstr/>
  </property>
</Properties>
</file>